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600" w:after="120"/>
        <w:jc w:val="left"/>
      </w:pPr>
      <w:r>
        <w:rPr>
          <w:rFonts w:ascii="Calibri" w:hAnsi="Calibri" w:eastAsia="Calibri"/>
          <w:b/>
          <w:i w:val="0"/>
          <w:color w:val="0E5C80"/>
          <w:sz w:val="25"/>
        </w:rPr>
        <w:t>ISS MOSAIC</w:t>
      </w:r>
    </w:p>
    <w:p>
      <w:pPr>
        <w:spacing w:before="0" w:after="120" w:line="240" w:lineRule="auto"/>
      </w:pPr>
      <w:r>
        <w:rPr>
          <w:rFonts w:ascii="Calibri" w:hAnsi="Calibri" w:eastAsia="Calibri"/>
          <w:b/>
          <w:i w:val="0"/>
          <w:color w:val="16406F"/>
          <w:sz w:val="52"/>
        </w:rPr>
        <w:t>Management-Kurzfassung</w:t>
      </w:r>
    </w:p>
    <w:p>
      <w:pPr>
        <w:spacing w:before="0" w:after="240" w:line="259" w:lineRule="auto"/>
      </w:pPr>
      <w:r>
        <w:rPr>
          <w:rFonts w:ascii="Calibri" w:hAnsi="Calibri" w:eastAsia="Calibri"/>
          <w:b w:val="0"/>
          <w:i w:val="0"/>
          <w:color w:val="646464"/>
          <w:sz w:val="23"/>
        </w:rPr>
        <w:t>Verdichtete Einordnung von Architektur, Nutzen, Betriebsmodell und strategischer Abgrenzung fuer die Entscheidungsvorbereitung.</w:t>
      </w:r>
    </w:p>
    <w:tbl>
      <w:tblPr>
        <w:tblStyle w:val="TableGrid"/>
        <w:tblW w:type="auto" w:w="0"/>
        <w:jc w:val="left"/>
        <w:tblLook w:firstColumn="1" w:firstRow="1" w:lastColumn="0" w:lastRow="0" w:noHBand="0" w:noVBand="1" w:val="04A0"/>
      </w:tblPr>
      <w:tblGrid>
        <w:gridCol w:w="2381"/>
        <w:gridCol w:w="6236"/>
      </w:tblGrid>
      <w:tr>
        <w:tc>
          <w:tcPr>
            <w:tcW w:type="dxa" w:w="4986"/>
            <w:vAlign w:val="center"/>
            <w:tcMar>
              <w:top w:w="80" w:type="dxa"/>
              <w:start w:w="110" w:type="dxa"/>
              <w:bottom w:w="80" w:type="dxa"/>
              <w:end w:w="110" w:type="dxa"/>
            </w:tcMar>
            <w:shd w:fill="DCE6F1"/>
          </w:tcPr>
          <w:p>
            <w:pPr>
              <w:spacing w:before="0" w:after="0" w:line="264" w:lineRule="auto"/>
            </w:pPr>
            <w:r>
              <w:rPr>
                <w:rFonts w:ascii="Calibri" w:hAnsi="Calibri" w:eastAsia="Calibri"/>
                <w:b/>
                <w:i w:val="0"/>
                <w:color w:val="16406F"/>
                <w:sz w:val="20"/>
              </w:rPr>
              <w:t>Zielgruppe</w:t>
            </w:r>
          </w:p>
        </w:tc>
        <w:tc>
          <w:tcPr>
            <w:tcW w:type="dxa" w:w="4986"/>
            <w:vAlign w:val="center"/>
            <w:tcMar>
              <w:top w:w="80" w:type="dxa"/>
              <w:start w:w="110" w:type="dxa"/>
              <w:bottom w:w="80" w:type="dxa"/>
              <w:end w:w="110" w:type="dxa"/>
            </w:tcMar>
          </w:tcPr>
          <w:p>
            <w:pPr>
              <w:spacing w:before="0" w:after="0" w:line="269" w:lineRule="auto"/>
            </w:pPr>
            <w:r>
              <w:rPr>
                <w:rFonts w:ascii="Calibri" w:hAnsi="Calibri" w:eastAsia="Calibri"/>
                <w:b w:val="0"/>
                <w:i w:val="0"/>
                <w:color w:val="2D2D2D"/>
                <w:sz w:val="19"/>
              </w:rPr>
              <w:t>Projektleitung, Produktverantwortliche und technische Entscheider mit Blick auf Einfuehrung, Wartbarkeit und Betrieb.</w:t>
            </w:r>
          </w:p>
        </w:tc>
      </w:tr>
      <w:tr>
        <w:tc>
          <w:tcPr>
            <w:tcW w:type="dxa" w:w="4986"/>
            <w:vAlign w:val="center"/>
            <w:tcMar>
              <w:top w:w="80" w:type="dxa"/>
              <w:start w:w="110" w:type="dxa"/>
              <w:bottom w:w="80" w:type="dxa"/>
              <w:end w:w="110" w:type="dxa"/>
            </w:tcMar>
            <w:shd w:fill="DCE6F1"/>
          </w:tcPr>
          <w:p>
            <w:pPr>
              <w:spacing w:before="0" w:after="0" w:line="264" w:lineRule="auto"/>
            </w:pPr>
            <w:r>
              <w:rPr>
                <w:rFonts w:ascii="Calibri" w:hAnsi="Calibri" w:eastAsia="Calibri"/>
                <w:b/>
                <w:i w:val="0"/>
                <w:color w:val="16406F"/>
                <w:sz w:val="20"/>
              </w:rPr>
              <w:t>Fokus</w:t>
            </w:r>
          </w:p>
        </w:tc>
        <w:tc>
          <w:tcPr>
            <w:tcW w:type="dxa" w:w="4986"/>
            <w:vAlign w:val="center"/>
            <w:tcMar>
              <w:top w:w="80" w:type="dxa"/>
              <w:start w:w="110" w:type="dxa"/>
              <w:bottom w:w="80" w:type="dxa"/>
              <w:end w:w="110" w:type="dxa"/>
            </w:tcMar>
          </w:tcPr>
          <w:p>
            <w:pPr>
              <w:spacing w:before="0" w:after="0" w:line="269" w:lineRule="auto"/>
            </w:pPr>
            <w:r>
              <w:rPr>
                <w:rFonts w:ascii="Calibri" w:hAnsi="Calibri" w:eastAsia="Calibri"/>
                <w:b w:val="0"/>
                <w:i w:val="0"/>
                <w:color w:val="2D2D2D"/>
                <w:sz w:val="19"/>
              </w:rPr>
              <w:t>Grundprinzip, vorhandene Bausteine, Upgrade-Modell, Unterschiede zu klassischen Framework-Ansätzen und Einsatzprofil.</w:t>
            </w:r>
          </w:p>
        </w:tc>
      </w:tr>
      <w:tr>
        <w:tc>
          <w:tcPr>
            <w:tcW w:type="dxa" w:w="4986"/>
            <w:vAlign w:val="center"/>
            <w:tcMar>
              <w:top w:w="80" w:type="dxa"/>
              <w:start w:w="110" w:type="dxa"/>
              <w:bottom w:w="80" w:type="dxa"/>
              <w:end w:w="110" w:type="dxa"/>
            </w:tcMar>
            <w:shd w:fill="DCE6F1"/>
          </w:tcPr>
          <w:p>
            <w:pPr>
              <w:spacing w:before="0" w:after="0" w:line="264" w:lineRule="auto"/>
            </w:pPr>
            <w:r>
              <w:rPr>
                <w:rFonts w:ascii="Calibri" w:hAnsi="Calibri" w:eastAsia="Calibri"/>
                <w:b/>
                <w:i w:val="0"/>
                <w:color w:val="16406F"/>
                <w:sz w:val="20"/>
              </w:rPr>
              <w:t>Technische Basis</w:t>
            </w:r>
          </w:p>
        </w:tc>
        <w:tc>
          <w:tcPr>
            <w:tcW w:type="dxa" w:w="4986"/>
            <w:vAlign w:val="center"/>
            <w:tcMar>
              <w:top w:w="80" w:type="dxa"/>
              <w:start w:w="110" w:type="dxa"/>
              <w:bottom w:w="80" w:type="dxa"/>
              <w:end w:w="110" w:type="dxa"/>
            </w:tcMar>
          </w:tcPr>
          <w:p>
            <w:pPr>
              <w:spacing w:before="0" w:after="0" w:line="269" w:lineRule="auto"/>
            </w:pPr>
            <w:r>
              <w:rPr>
                <w:rFonts w:ascii="Calibri" w:hAnsi="Calibri" w:eastAsia="Calibri"/>
                <w:b w:val="0"/>
                <w:i w:val="0"/>
                <w:color w:val="2D2D2D"/>
                <w:sz w:val="19"/>
              </w:rPr>
              <w:t>PHP 8.1 bis 8.3, MySQL, konfigurationsgesteuerte Anwendungen mit zentralen Laufzeitkomponenten.</w:t>
            </w:r>
          </w:p>
        </w:tc>
      </w:tr>
      <w:tr>
        <w:tc>
          <w:tcPr>
            <w:tcW w:type="dxa" w:w="4986"/>
            <w:vAlign w:val="center"/>
            <w:tcMar>
              <w:top w:w="80" w:type="dxa"/>
              <w:start w:w="110" w:type="dxa"/>
              <w:bottom w:w="80" w:type="dxa"/>
              <w:end w:w="110" w:type="dxa"/>
            </w:tcMar>
            <w:shd w:fill="DCE6F1"/>
          </w:tcPr>
          <w:p>
            <w:pPr>
              <w:spacing w:before="0" w:after="0" w:line="264" w:lineRule="auto"/>
            </w:pPr>
            <w:r>
              <w:rPr>
                <w:rFonts w:ascii="Calibri" w:hAnsi="Calibri" w:eastAsia="Calibri"/>
                <w:b/>
                <w:i w:val="0"/>
                <w:color w:val="16406F"/>
                <w:sz w:val="20"/>
              </w:rPr>
              <w:t>Basis dieser Fassung</w:t>
            </w:r>
          </w:p>
        </w:tc>
        <w:tc>
          <w:tcPr>
            <w:tcW w:type="dxa" w:w="4986"/>
            <w:vAlign w:val="center"/>
            <w:tcMar>
              <w:top w:w="80" w:type="dxa"/>
              <w:start w:w="110" w:type="dxa"/>
              <w:bottom w:w="80" w:type="dxa"/>
              <w:end w:w="110" w:type="dxa"/>
            </w:tcMar>
          </w:tcPr>
          <w:p>
            <w:pPr>
              <w:spacing w:before="0" w:after="0" w:line="269" w:lineRule="auto"/>
            </w:pPr>
            <w:r>
              <w:rPr>
                <w:rFonts w:ascii="Calibri" w:hAnsi="Calibri" w:eastAsia="Calibri"/>
                <w:b w:val="0"/>
                <w:i w:val="0"/>
                <w:color w:val="2D2D2D"/>
                <w:sz w:val="19"/>
              </w:rPr>
              <w:t>Abgeleitet aus den im Projekt vorhandenen MOSAIC-Unterlagen zu Beschreibung, Ordnerstruktur, Konfigurationen und Scriptcase-Konvertierung.</w:t>
            </w:r>
          </w:p>
        </w:tc>
      </w:tr>
    </w:tbl>
    <w:p/>
    <w:tbl>
      <w:tblPr>
        <w:tblW w:type="auto" w:w="0"/>
        <w:jc w:val="center"/>
        <w:tblLook w:firstColumn="1" w:firstRow="1" w:lastColumn="0" w:lastRow="0" w:noHBand="0" w:noVBand="1" w:val="04A0"/>
      </w:tblPr>
      <w:tblGrid>
        <w:gridCol w:w="9972"/>
      </w:tblGrid>
      <w:tr>
        <w:tc>
          <w:tcPr>
            <w:tcW w:type="dxa" w:w="9972"/>
            <w:tcMar>
              <w:top w:w="110" w:type="dxa"/>
              <w:start w:w="120" w:type="dxa"/>
              <w:bottom w:w="110" w:type="dxa"/>
              <w:end w:w="120" w:type="dxa"/>
            </w:tcMar>
            <w:shd w:fill="EDF4FD"/>
            <w:tcBorders>
              <w:left w:val="single" w:sz="12" w:color="5B9BD5"/>
              <w:top w:val="single" w:sz="12" w:color="5B9BD5"/>
              <w:right w:val="single" w:sz="12" w:color="5B9BD5"/>
              <w:bottom w:val="single" w:sz="12" w:color="5B9BD5"/>
            </w:tcBorders>
          </w:tcPr>
          <w:p>
            <w:pPr>
              <w:spacing w:before="0" w:after="0" w:line="269" w:lineRule="auto"/>
            </w:pPr>
            <w:r>
              <w:rPr>
                <w:rFonts w:ascii="Calibri" w:hAnsi="Calibri" w:eastAsia="Calibri"/>
                <w:b/>
                <w:i w:val="0"/>
                <w:color w:val="16406F"/>
                <w:sz w:val="21"/>
              </w:rPr>
              <w:t xml:space="preserve">Kurzurteil: </w:t>
            </w:r>
            <w:r>
              <w:rPr>
                <w:rFonts w:ascii="Calibri" w:hAnsi="Calibri" w:eastAsia="Calibri"/>
                <w:b w:val="0"/>
                <w:i w:val="0"/>
                <w:color w:val="2D2D2D"/>
                <w:sz w:val="20"/>
              </w:rPr>
              <w:t>ISS MOSAIC ist aus den Unterlagen heraus am staerksten als standardisiertes, konfigurationsgetriebenes Anwendungsframework fuer datennahe Fachoberflaechen positioniert. Der wesentliche Vorteil liegt in dem einheitlichen Laufzeitmodell und der klaren Trennung zwischen Framework-Kern und Projektbestand.</w:t>
            </w:r>
          </w:p>
        </w:tc>
      </w:tr>
    </w:tbl>
    <w:p/>
    <w:p>
      <w:pPr>
        <w:pStyle w:val="Heading1"/>
        <w:keepNext/>
        <w:spacing w:before="120" w:after="60" w:line="252" w:lineRule="auto"/>
      </w:pPr>
      <w:r>
        <w:rPr>
          <w:rFonts w:ascii="Calibri" w:hAnsi="Calibri" w:eastAsia="Calibri"/>
          <w:b/>
          <w:i w:val="0"/>
          <w:color w:val="16406F"/>
          <w:sz w:val="30"/>
        </w:rPr>
        <w:t>1. Architekturprinzip in einem Satz</w:t>
      </w:r>
    </w:p>
    <w:p>
      <w:pPr>
        <w:spacing w:before="0" w:after="100" w:line="283" w:lineRule="auto"/>
        <w:jc w:val="both"/>
      </w:pPr>
      <w:r>
        <w:rPr>
          <w:rFonts w:ascii="Calibri" w:hAnsi="Calibri" w:eastAsia="Calibri"/>
          <w:b w:val="0"/>
          <w:i w:val="0"/>
          <w:color w:val="2D2D2D"/>
          <w:sz w:val="21"/>
        </w:rPr>
        <w:t>ISS MOSAIC beschreibt Anwendungen nicht primaer ueber fuer jede Maske separat generierten Code, sondern ueber Konfigurationsdateien. Zentrale Laufzeitkomponenten lesen diese Konfigurationen und steuern damit Verhalten, Darstellung und Funktionsumfang von Grids, Formularen, Dashboards, Kalendern und weiteren Applikationen.</w:t>
      </w:r>
    </w:p>
    <w:tbl>
      <w:tblPr>
        <w:tblStyle w:val="TableGrid"/>
        <w:tblW w:type="auto" w:w="0"/>
        <w:jc w:val="center"/>
        <w:tblLook w:firstColumn="1" w:firstRow="1" w:lastColumn="0" w:lastRow="0" w:noHBand="0" w:noVBand="1" w:val="04A0"/>
      </w:tblPr>
      <w:tblGrid>
        <w:gridCol w:w="2608"/>
        <w:gridCol w:w="6463"/>
      </w:tblGrid>
      <w:tr>
        <w:trPr>
          <w:tblHeader w:val="true"/>
        </w:trPr>
        <w:tc>
          <w:tcPr>
            <w:tcW w:type="dxa" w:w="4986"/>
            <w:vAlign w:val="center"/>
            <w:tcMar>
              <w:top w:w="80" w:type="dxa"/>
              <w:start w:w="110" w:type="dxa"/>
              <w:bottom w:w="80" w:type="dxa"/>
              <w:end w:w="110" w:type="dxa"/>
            </w:tcMar>
            <w:shd w:fill="1F4E79"/>
          </w:tcPr>
          <w:p>
            <w:pPr>
              <w:spacing w:before="0" w:after="0" w:line="240" w:lineRule="auto"/>
              <w:jc w:val="center"/>
            </w:pPr>
            <w:r>
              <w:rPr>
                <w:rFonts w:ascii="Calibri" w:hAnsi="Calibri" w:eastAsia="Calibri"/>
                <w:b/>
                <w:i w:val="0"/>
                <w:color w:val="FFFFFF"/>
                <w:sz w:val="20"/>
              </w:rPr>
              <w:t>Leitgedanke</w:t>
            </w:r>
          </w:p>
        </w:tc>
        <w:tc>
          <w:tcPr>
            <w:tcW w:type="dxa" w:w="4986"/>
            <w:vAlign w:val="center"/>
            <w:tcMar>
              <w:top w:w="80" w:type="dxa"/>
              <w:start w:w="110" w:type="dxa"/>
              <w:bottom w:w="80" w:type="dxa"/>
              <w:end w:w="110" w:type="dxa"/>
            </w:tcMar>
            <w:shd w:fill="1F4E79"/>
          </w:tcPr>
          <w:p>
            <w:pPr>
              <w:spacing w:before="0" w:after="0" w:line="240" w:lineRule="auto"/>
              <w:jc w:val="center"/>
            </w:pPr>
            <w:r>
              <w:rPr>
                <w:rFonts w:ascii="Calibri" w:hAnsi="Calibri" w:eastAsia="Calibri"/>
                <w:b/>
                <w:i w:val="0"/>
                <w:color w:val="FFFFFF"/>
                <w:sz w:val="20"/>
              </w:rPr>
              <w:t>Management-Relevanz</w:t>
            </w:r>
          </w:p>
        </w:tc>
      </w:tr>
      <w:tr>
        <w:tc>
          <w:tcPr>
            <w:tcW w:type="dxa" w:w="2608"/>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Konfiguration statt Kompilierung</w:t>
            </w:r>
          </w:p>
        </w:tc>
        <w:tc>
          <w:tcPr>
            <w:tcW w:type="dxa" w:w="6463"/>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Aenderungen an vielen Oberflaechen koennen konzeptionell ueber Konfigurationen statt ueber neu generierte Einzelprogramme gesteuert werden.</w:t>
            </w:r>
          </w:p>
        </w:tc>
      </w:tr>
      <w:tr>
        <w:tc>
          <w:tcPr>
            <w:tcW w:type="dxa" w:w="2608"/>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Zentraler Kern</w:t>
            </w:r>
          </w:p>
        </w:tc>
        <w:tc>
          <w:tcPr>
            <w:tcW w:type="dxa" w:w="6463"/>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Standardisierung und Wartung konzentrieren sich auf einen klar abgegrenzten Framework-Bestand.</w:t>
            </w:r>
          </w:p>
        </w:tc>
      </w:tr>
      <w:tr>
        <w:tc>
          <w:tcPr>
            <w:tcW w:type="dxa" w:w="2608"/>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Projekttrennung</w:t>
            </w:r>
          </w:p>
        </w:tc>
        <w:tc>
          <w:tcPr>
            <w:tcW w:type="dxa" w:w="6463"/>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Kunden- oder projektspezifische Entwicklungen liegen getrennt vom Kern und werden laut Beschreibung bei Updates nicht angetastet.</w:t>
            </w:r>
          </w:p>
        </w:tc>
      </w:tr>
      <w:tr>
        <w:tc>
          <w:tcPr>
            <w:tcW w:type="dxa" w:w="2608"/>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Geschlossenes System</w:t>
            </w:r>
          </w:p>
        </w:tc>
        <w:tc>
          <w:tcPr>
            <w:tcW w:type="dxa" w:w="6463"/>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Im Kern wird kein auf Drittsoftware gestuetzter Framework-Stack beschrieben; das reduziert externe Abhaengigkeiten im Betriebsmodell.</w:t>
            </w:r>
          </w:p>
        </w:tc>
      </w:tr>
    </w:tbl>
    <w:p/>
    <w:p>
      <w:pPr>
        <w:pStyle w:val="Heading1"/>
        <w:keepNext/>
        <w:spacing w:before="120" w:after="60" w:line="252" w:lineRule="auto"/>
      </w:pPr>
      <w:r>
        <w:rPr>
          <w:rFonts w:ascii="Calibri" w:hAnsi="Calibri" w:eastAsia="Calibri"/>
          <w:b/>
          <w:i w:val="0"/>
          <w:color w:val="16406F"/>
          <w:sz w:val="30"/>
        </w:rPr>
        <w:t>2. Bestehende Bausteine</w:t>
      </w:r>
    </w:p>
    <w:p>
      <w:pPr>
        <w:spacing w:before="0" w:after="100" w:line="283" w:lineRule="auto"/>
        <w:jc w:val="both"/>
      </w:pPr>
      <w:r>
        <w:rPr>
          <w:rFonts w:ascii="Calibri" w:hAnsi="Calibri" w:eastAsia="Calibri"/>
          <w:b w:val="0"/>
          <w:i w:val="0"/>
          <w:color w:val="2D2D2D"/>
          <w:sz w:val="21"/>
        </w:rPr>
        <w:t>Die Unterlagen beschreiben MOSAIC als Plattform mit mehreren anwendungsnahen Bausteinen. Daraus ergibt sich kein isoliertes CRUD-Werkzeug, sondern ein Framework-Baukasten fuer Fachanwendungen.</w:t>
      </w:r>
    </w:p>
    <w:tbl>
      <w:tblPr>
        <w:tblStyle w:val="TableGrid"/>
        <w:tblW w:type="auto" w:w="0"/>
        <w:jc w:val="center"/>
        <w:tblLook w:firstColumn="1" w:firstRow="1" w:lastColumn="0" w:lastRow="0" w:noHBand="0" w:noVBand="1" w:val="04A0"/>
      </w:tblPr>
      <w:tblGrid>
        <w:gridCol w:w="2438"/>
        <w:gridCol w:w="6633"/>
      </w:tblGrid>
      <w:tr>
        <w:trPr>
          <w:tblHeader w:val="true"/>
        </w:trPr>
        <w:tc>
          <w:tcPr>
            <w:tcW w:type="dxa" w:w="4986"/>
            <w:vAlign w:val="center"/>
            <w:tcMar>
              <w:top w:w="80" w:type="dxa"/>
              <w:start w:w="110" w:type="dxa"/>
              <w:bottom w:w="80" w:type="dxa"/>
              <w:end w:w="110" w:type="dxa"/>
            </w:tcMar>
            <w:shd w:fill="0E5C80"/>
          </w:tcPr>
          <w:p>
            <w:pPr>
              <w:spacing w:before="0" w:after="0" w:line="240" w:lineRule="auto"/>
              <w:jc w:val="center"/>
            </w:pPr>
            <w:r>
              <w:rPr>
                <w:rFonts w:ascii="Calibri" w:hAnsi="Calibri" w:eastAsia="Calibri"/>
                <w:b/>
                <w:i w:val="0"/>
                <w:color w:val="FFFFFF"/>
                <w:sz w:val="20"/>
              </w:rPr>
              <w:t>Baustein</w:t>
            </w:r>
          </w:p>
        </w:tc>
        <w:tc>
          <w:tcPr>
            <w:tcW w:type="dxa" w:w="4986"/>
            <w:vAlign w:val="center"/>
            <w:tcMar>
              <w:top w:w="80" w:type="dxa"/>
              <w:start w:w="110" w:type="dxa"/>
              <w:bottom w:w="80" w:type="dxa"/>
              <w:end w:w="110" w:type="dxa"/>
            </w:tcMar>
            <w:shd w:fill="0E5C80"/>
          </w:tcPr>
          <w:p>
            <w:pPr>
              <w:spacing w:before="0" w:after="0" w:line="240" w:lineRule="auto"/>
              <w:jc w:val="center"/>
            </w:pPr>
            <w:r>
              <w:rPr>
                <w:rFonts w:ascii="Calibri" w:hAnsi="Calibri" w:eastAsia="Calibri"/>
                <w:b/>
                <w:i w:val="0"/>
                <w:color w:val="FFFFFF"/>
                <w:sz w:val="20"/>
              </w:rPr>
              <w:t>Nutzen aus Managementsicht</w:t>
            </w:r>
          </w:p>
        </w:tc>
      </w:tr>
      <w:tr>
        <w:tc>
          <w:tcPr>
            <w:tcW w:type="dxa" w:w="2438"/>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Grid und Formular</w:t>
            </w:r>
          </w:p>
        </w:tc>
        <w:tc>
          <w:tcPr>
            <w:tcW w:type="dxa" w:w="6633"/>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Standardisierte Listen- und Eingabemasken fuer typische datenbankgestuetzte Prozesse.</w:t>
            </w:r>
          </w:p>
        </w:tc>
      </w:tr>
      <w:tr>
        <w:tc>
          <w:tcPr>
            <w:tcW w:type="dxa" w:w="2438"/>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Dashboard und Kalender</w:t>
            </w:r>
          </w:p>
        </w:tc>
        <w:tc>
          <w:tcPr>
            <w:tcW w:type="dxa" w:w="6633"/>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Zusammenfuehrung mehrerer Komponenten in einer Oberflaeche; Endnutzer koennen Dashboards anpassen.</w:t>
            </w:r>
          </w:p>
        </w:tc>
      </w:tr>
      <w:tr>
        <w:tc>
          <w:tcPr>
            <w:tcW w:type="dxa" w:w="2438"/>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Diagramm-Werkzeug</w:t>
            </w:r>
          </w:p>
        </w:tc>
        <w:tc>
          <w:tcPr>
            <w:tcW w:type="dxa" w:w="6633"/>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Visualisierung von Daten per Chart-Anwendungen mit Vorschau.</w:t>
            </w:r>
          </w:p>
        </w:tc>
      </w:tr>
      <w:tr>
        <w:tc>
          <w:tcPr>
            <w:tcW w:type="dxa" w:w="2438"/>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MySQL-Editor</w:t>
            </w:r>
          </w:p>
        </w:tc>
        <w:tc>
          <w:tcPr>
            <w:tcW w:type="dxa" w:w="6633"/>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Grafische Modellierung komplexerer SQL-Abfragen inklusive Join-Logik und direkter Ergebnisvorschau.</w:t>
            </w:r>
          </w:p>
        </w:tc>
      </w:tr>
      <w:tr>
        <w:tc>
          <w:tcPr>
            <w:tcW w:type="dxa" w:w="2438"/>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Mehrsprachigkeit via DeepL</w:t>
            </w:r>
          </w:p>
        </w:tc>
        <w:tc>
          <w:tcPr>
            <w:tcW w:type="dxa" w:w="6633"/>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Uebersetzungen koennen systematisch genutzt werden; ein Dateicache entlastet Folgeaufrufe und minimiert wiederkehrenden Aufwand.</w:t>
            </w:r>
          </w:p>
        </w:tc>
      </w:tr>
      <w:tr>
        <w:tc>
          <w:tcPr>
            <w:tcW w:type="dxa" w:w="2438"/>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Scriptcase-Konvertierung</w:t>
            </w:r>
          </w:p>
        </w:tc>
        <w:tc>
          <w:tcPr>
            <w:tcW w:type="dxa" w:w="6633"/>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Bestehende Projekte koennen mit Uebernahme wichtiger Bestandteile migriert werden, auch wenn Nacharbeit eingeplant werden muss.</w:t>
            </w:r>
          </w:p>
        </w:tc>
      </w:tr>
    </w:tbl>
    <w:p/>
    <w:p>
      <w:pPr>
        <w:pStyle w:val="Heading1"/>
        <w:keepNext/>
        <w:spacing w:before="120" w:after="60" w:line="252" w:lineRule="auto"/>
      </w:pPr>
      <w:r>
        <w:rPr>
          <w:rFonts w:ascii="Calibri" w:hAnsi="Calibri" w:eastAsia="Calibri"/>
          <w:b/>
          <w:i w:val="0"/>
          <w:color w:val="16406F"/>
          <w:sz w:val="30"/>
        </w:rPr>
        <w:t>3. Betriebsmodell und Updatefaehigkeit</w:t>
      </w:r>
    </w:p>
    <w:p>
      <w:pPr>
        <w:spacing w:before="0" w:after="100" w:line="283" w:lineRule="auto"/>
        <w:jc w:val="both"/>
      </w:pPr>
      <w:r>
        <w:rPr>
          <w:rFonts w:ascii="Calibri" w:hAnsi="Calibri" w:eastAsia="Calibri"/>
          <w:b w:val="0"/>
          <w:i w:val="0"/>
          <w:color w:val="2D2D2D"/>
          <w:sz w:val="21"/>
        </w:rPr>
        <w:t>Aus der Ordnerstruktur und Beschreibung ergibt sich eine klare operative Trennung: Der Framework-Kern liegt unter _pgm, waehrend Projekte eigene Ordner fuer Module, Libraries, Dateiablage und DeepL-Cache besitzen. Updates sollen ausschliesslich den Kernpfad betreffen. Das verbessert Rueckfallfaehigkeit und senkt das Risiko, kundenspezifische Artefakte zu ueberschreiben.</w:t>
      </w:r>
    </w:p>
    <w:tbl>
      <w:tblPr>
        <w:tblW w:type="auto" w:w="0"/>
        <w:jc w:val="center"/>
        <w:tblLook w:firstColumn="1" w:firstRow="1" w:lastColumn="0" w:lastRow="0" w:noHBand="0" w:noVBand="1" w:val="04A0"/>
      </w:tblPr>
      <w:tblGrid>
        <w:gridCol w:w="9972"/>
      </w:tblGrid>
      <w:tr>
        <w:tc>
          <w:tcPr>
            <w:tcW w:type="dxa" w:w="9972"/>
            <w:tcMar>
              <w:top w:w="110" w:type="dxa"/>
              <w:start w:w="120" w:type="dxa"/>
              <w:bottom w:w="110" w:type="dxa"/>
              <w:end w:w="120" w:type="dxa"/>
            </w:tcMar>
            <w:shd w:fill="EDF4FD"/>
            <w:tcBorders>
              <w:left w:val="single" w:sz="12" w:color="5B9BD5"/>
              <w:top w:val="single" w:sz="12" w:color="5B9BD5"/>
              <w:right w:val="single" w:sz="12" w:color="5B9BD5"/>
              <w:bottom w:val="single" w:sz="12" w:color="5B9BD5"/>
            </w:tcBorders>
          </w:tcPr>
          <w:p>
            <w:pPr>
              <w:spacing w:before="0" w:after="0" w:line="269" w:lineRule="auto"/>
            </w:pPr>
            <w:r>
              <w:rPr>
                <w:rFonts w:ascii="Calibri" w:hAnsi="Calibri" w:eastAsia="Calibri"/>
                <w:b/>
                <w:i w:val="0"/>
                <w:color w:val="16406F"/>
                <w:sz w:val="21"/>
              </w:rPr>
              <w:t xml:space="preserve">Betriebsnutzen: </w:t>
            </w:r>
            <w:r>
              <w:rPr>
                <w:rFonts w:ascii="Calibri" w:hAnsi="Calibri" w:eastAsia="Calibri"/>
                <w:b w:val="0"/>
                <w:i w:val="0"/>
                <w:color w:val="2D2D2D"/>
                <w:sz w:val="20"/>
              </w:rPr>
              <w:t>Die Update-Logik ist in den Unterlagen ausgesprochen wartungsfreundlich beschrieben: alter Kern sichern, neuen Kern einspielen, bei Bedarf zurueckrollen. Diese Einfachheit ist fuer produktive Kundeninstallationen ein starkes Argument.</w:t>
            </w:r>
          </w:p>
        </w:tc>
      </w:tr>
    </w:tbl>
    <w:p/>
    <w:tbl>
      <w:tblPr>
        <w:tblStyle w:val="TableGrid"/>
        <w:tblW w:type="auto" w:w="0"/>
        <w:jc w:val="center"/>
        <w:tblLook w:firstColumn="1" w:firstRow="1" w:lastColumn="0" w:lastRow="0" w:noHBand="0" w:noVBand="1" w:val="04A0"/>
      </w:tblPr>
      <w:tblGrid>
        <w:gridCol w:w="2551"/>
        <w:gridCol w:w="6520"/>
      </w:tblGrid>
      <w:tr>
        <w:trPr>
          <w:tblHeader w:val="true"/>
        </w:trPr>
        <w:tc>
          <w:tcPr>
            <w:tcW w:type="dxa" w:w="4986"/>
            <w:vAlign w:val="center"/>
            <w:tcMar>
              <w:top w:w="80" w:type="dxa"/>
              <w:start w:w="110" w:type="dxa"/>
              <w:bottom w:w="80" w:type="dxa"/>
              <w:end w:w="110" w:type="dxa"/>
            </w:tcMar>
            <w:shd w:fill="1F4E79"/>
          </w:tcPr>
          <w:p>
            <w:pPr>
              <w:spacing w:before="0" w:after="0" w:line="240" w:lineRule="auto"/>
              <w:jc w:val="center"/>
            </w:pPr>
            <w:r>
              <w:rPr>
                <w:rFonts w:ascii="Calibri" w:hAnsi="Calibri" w:eastAsia="Calibri"/>
                <w:b/>
                <w:i w:val="0"/>
                <w:color w:val="FFFFFF"/>
                <w:sz w:val="20"/>
              </w:rPr>
              <w:t>Betriebsthema</w:t>
            </w:r>
          </w:p>
        </w:tc>
        <w:tc>
          <w:tcPr>
            <w:tcW w:type="dxa" w:w="4986"/>
            <w:vAlign w:val="center"/>
            <w:tcMar>
              <w:top w:w="80" w:type="dxa"/>
              <w:start w:w="110" w:type="dxa"/>
              <w:bottom w:w="80" w:type="dxa"/>
              <w:end w:w="110" w:type="dxa"/>
            </w:tcMar>
            <w:shd w:fill="1F4E79"/>
          </w:tcPr>
          <w:p>
            <w:pPr>
              <w:spacing w:before="0" w:after="0" w:line="240" w:lineRule="auto"/>
              <w:jc w:val="center"/>
            </w:pPr>
            <w:r>
              <w:rPr>
                <w:rFonts w:ascii="Calibri" w:hAnsi="Calibri" w:eastAsia="Calibri"/>
                <w:b/>
                <w:i w:val="0"/>
                <w:color w:val="FFFFFF"/>
                <w:sz w:val="20"/>
              </w:rPr>
              <w:t>MOSAIC-Einordnung</w:t>
            </w:r>
          </w:p>
        </w:tc>
      </w:tr>
      <w:tr>
        <w:tc>
          <w:tcPr>
            <w:tcW w:type="dxa" w:w="2551"/>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Deployment</w:t>
            </w:r>
          </w:p>
        </w:tc>
        <w:tc>
          <w:tcPr>
            <w:tcW w:type="dxa" w:w="6520"/>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Framework-Kern und Projektdateien sind logisch getrennt.</w:t>
            </w:r>
          </w:p>
        </w:tc>
      </w:tr>
      <w:tr>
        <w:tc>
          <w:tcPr>
            <w:tcW w:type="dxa" w:w="2551"/>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Rollback</w:t>
            </w:r>
          </w:p>
        </w:tc>
        <w:tc>
          <w:tcPr>
            <w:tcW w:type="dxa" w:w="6520"/>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Durch Austausch des Kernpfads ist ein pragmatischer Rueckschritt moeglich.</w:t>
            </w:r>
          </w:p>
        </w:tc>
      </w:tr>
      <w:tr>
        <w:tc>
          <w:tcPr>
            <w:tcW w:type="dxa" w:w="2551"/>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Mehrsprachigkeit</w:t>
            </w:r>
          </w:p>
        </w:tc>
        <w:tc>
          <w:tcPr>
            <w:tcW w:type="dxa" w:w="6520"/>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Bereits uebersetzte Texte werden dateibasiert wiederverwendet.</w:t>
            </w:r>
          </w:p>
        </w:tc>
      </w:tr>
      <w:tr>
        <w:tc>
          <w:tcPr>
            <w:tcW w:type="dxa" w:w="2551"/>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Dateiablage</w:t>
            </w:r>
          </w:p>
        </w:tc>
        <w:tc>
          <w:tcPr>
            <w:tcW w:type="dxa" w:w="6520"/>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Ein eigener _file_store fuer Dokumente ist im Projektmodell vorgesehen.</w:t>
            </w:r>
          </w:p>
        </w:tc>
      </w:tr>
    </w:tbl>
    <w:p/>
    <w:p>
      <w:pPr>
        <w:pStyle w:val="Heading1"/>
        <w:keepNext/>
        <w:spacing w:before="120" w:after="60" w:line="252" w:lineRule="auto"/>
      </w:pPr>
      <w:r>
        <w:rPr>
          <w:rFonts w:ascii="Calibri" w:hAnsi="Calibri" w:eastAsia="Calibri"/>
          <w:b/>
          <w:i w:val="0"/>
          <w:color w:val="16406F"/>
          <w:sz w:val="30"/>
        </w:rPr>
        <w:t>4. Unterschiede zu klassischen Framework-Setups</w:t>
      </w:r>
    </w:p>
    <w:tbl>
      <w:tblPr>
        <w:tblStyle w:val="TableGrid"/>
        <w:tblW w:type="auto" w:w="0"/>
        <w:jc w:val="center"/>
        <w:tblLook w:firstColumn="1" w:firstRow="1" w:lastColumn="0" w:lastRow="0" w:noHBand="0" w:noVBand="1" w:val="04A0"/>
      </w:tblPr>
      <w:tblGrid>
        <w:gridCol w:w="2551"/>
        <w:gridCol w:w="3061"/>
        <w:gridCol w:w="3458"/>
      </w:tblGrid>
      <w:tr>
        <w:trPr>
          <w:tblHeader w:val="true"/>
        </w:trPr>
        <w:tc>
          <w:tcPr>
            <w:tcW w:type="dxa" w:w="3324"/>
            <w:vAlign w:val="center"/>
            <w:tcMar>
              <w:top w:w="80" w:type="dxa"/>
              <w:start w:w="110" w:type="dxa"/>
              <w:bottom w:w="80" w:type="dxa"/>
              <w:end w:w="110" w:type="dxa"/>
            </w:tcMar>
            <w:shd w:fill="1F4E79"/>
          </w:tcPr>
          <w:p>
            <w:pPr>
              <w:spacing w:before="0" w:after="0" w:line="240" w:lineRule="auto"/>
              <w:jc w:val="center"/>
            </w:pPr>
            <w:r>
              <w:rPr>
                <w:rFonts w:ascii="Calibri" w:hAnsi="Calibri" w:eastAsia="Calibri"/>
                <w:b/>
                <w:i w:val="0"/>
                <w:color w:val="FFFFFF"/>
                <w:sz w:val="20"/>
              </w:rPr>
              <w:t>Vergleichspunkt</w:t>
            </w:r>
          </w:p>
        </w:tc>
        <w:tc>
          <w:tcPr>
            <w:tcW w:type="dxa" w:w="3324"/>
            <w:vAlign w:val="center"/>
            <w:tcMar>
              <w:top w:w="80" w:type="dxa"/>
              <w:start w:w="110" w:type="dxa"/>
              <w:bottom w:w="80" w:type="dxa"/>
              <w:end w:w="110" w:type="dxa"/>
            </w:tcMar>
            <w:shd w:fill="1F4E79"/>
          </w:tcPr>
          <w:p>
            <w:pPr>
              <w:spacing w:before="0" w:after="0" w:line="240" w:lineRule="auto"/>
              <w:jc w:val="center"/>
            </w:pPr>
            <w:r>
              <w:rPr>
                <w:rFonts w:ascii="Calibri" w:hAnsi="Calibri" w:eastAsia="Calibri"/>
                <w:b/>
                <w:i w:val="0"/>
                <w:color w:val="FFFFFF"/>
                <w:sz w:val="20"/>
              </w:rPr>
              <w:t>ISS MOSAIC</w:t>
            </w:r>
          </w:p>
        </w:tc>
        <w:tc>
          <w:tcPr>
            <w:tcW w:type="dxa" w:w="3324"/>
            <w:vAlign w:val="center"/>
            <w:tcMar>
              <w:top w:w="80" w:type="dxa"/>
              <w:start w:w="110" w:type="dxa"/>
              <w:bottom w:w="80" w:type="dxa"/>
              <w:end w:w="110" w:type="dxa"/>
            </w:tcMar>
            <w:shd w:fill="1F4E79"/>
          </w:tcPr>
          <w:p>
            <w:pPr>
              <w:spacing w:before="0" w:after="0" w:line="240" w:lineRule="auto"/>
              <w:jc w:val="center"/>
            </w:pPr>
            <w:r>
              <w:rPr>
                <w:rFonts w:ascii="Calibri" w:hAnsi="Calibri" w:eastAsia="Calibri"/>
                <w:b/>
                <w:i w:val="0"/>
                <w:color w:val="FFFFFF"/>
                <w:sz w:val="20"/>
              </w:rPr>
              <w:t>Typischer gängiger Ansatz</w:t>
            </w:r>
          </w:p>
        </w:tc>
      </w:tr>
      <w:tr>
        <w:tc>
          <w:tcPr>
            <w:tcW w:type="dxa" w:w="2551"/>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Oberflaechenentwicklung</w:t>
            </w:r>
          </w:p>
        </w:tc>
        <w:tc>
          <w:tcPr>
            <w:tcW w:type="dxa" w:w="3061"/>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Deklarativ ueber Konfiguration und zentrale Laufzeit.</w:t>
            </w:r>
          </w:p>
        </w:tc>
        <w:tc>
          <w:tcPr>
            <w:tcW w:type="dxa" w:w="3458"/>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Staerker codezentriert ueber Controller, Templates, Komponenten und individuelle Schichten.</w:t>
            </w:r>
          </w:p>
        </w:tc>
      </w:tr>
      <w:tr>
        <w:tc>
          <w:tcPr>
            <w:tcW w:type="dxa" w:w="2551"/>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Aenderungsmodell</w:t>
            </w:r>
          </w:p>
        </w:tc>
        <w:tc>
          <w:tcPr>
            <w:tcW w:type="dxa" w:w="3061"/>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Viele Oberflaechen werden ueber dieselbe Laufzeitlogik getragen.</w:t>
            </w:r>
          </w:p>
        </w:tc>
        <w:tc>
          <w:tcPr>
            <w:tcW w:type="dxa" w:w="3458"/>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Aenderungen verteilen sich haeufig auf mehrere Artefakte oder generierten Modulcode.</w:t>
            </w:r>
          </w:p>
        </w:tc>
      </w:tr>
      <w:tr>
        <w:tc>
          <w:tcPr>
            <w:tcW w:type="dxa" w:w="2551"/>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Upgrade-Sicht</w:t>
            </w:r>
          </w:p>
        </w:tc>
        <w:tc>
          <w:tcPr>
            <w:tcW w:type="dxa" w:w="3061"/>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Kernfokus auf _pgm und Schutz des Projektbestands.</w:t>
            </w:r>
          </w:p>
        </w:tc>
        <w:tc>
          <w:tcPr>
            <w:tcW w:type="dxa" w:w="3458"/>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Framework-, Paket- und Projektupdates muessen oft gemeinsam integriert werden.</w:t>
            </w:r>
          </w:p>
        </w:tc>
      </w:tr>
      <w:tr>
        <w:tc>
          <w:tcPr>
            <w:tcW w:type="dxa" w:w="2551"/>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Abhaengigkeiten</w:t>
            </w:r>
          </w:p>
        </w:tc>
        <w:tc>
          <w:tcPr>
            <w:tcW w:type="dxa" w:w="3061"/>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Geschlossenes Betriebsmodell laut Beschreibung.</w:t>
            </w:r>
          </w:p>
        </w:tc>
        <w:tc>
          <w:tcPr>
            <w:tcW w:type="dxa" w:w="3458"/>
            <w:vAlign w:val="center"/>
            <w:tcMar>
              <w:top w:w="80" w:type="dxa"/>
              <w:start w:w="110" w:type="dxa"/>
              <w:bottom w:w="80" w:type="dxa"/>
              <w:end w:w="110" w:type="dxa"/>
            </w:tcMar>
            <w:shd w:fill="F8FBFE"/>
          </w:tcPr>
          <w:p>
            <w:pPr>
              <w:spacing w:before="0" w:after="0" w:line="259" w:lineRule="auto"/>
              <w:jc w:val="left"/>
            </w:pPr>
            <w:r>
              <w:rPr>
                <w:rFonts w:ascii="Calibri" w:hAnsi="Calibri" w:eastAsia="Calibri"/>
                <w:b w:val="0"/>
                <w:i w:val="0"/>
                <w:color w:val="2D2D2D"/>
                <w:sz w:val="19"/>
              </w:rPr>
              <w:t>Haefig umfangreicheres Oekosystem externer Pakete und Build-Ketten.</w:t>
            </w:r>
          </w:p>
        </w:tc>
      </w:tr>
      <w:tr>
        <w:tc>
          <w:tcPr>
            <w:tcW w:type="dxa" w:w="2551"/>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Migration</w:t>
            </w:r>
          </w:p>
        </w:tc>
        <w:tc>
          <w:tcPr>
            <w:tcW w:type="dxa" w:w="3061"/>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Scriptcase-Umstieg ist als expliziter Baustein vorhanden.</w:t>
            </w:r>
          </w:p>
        </w:tc>
        <w:tc>
          <w:tcPr>
            <w:tcW w:type="dxa" w:w="3458"/>
            <w:vAlign w:val="center"/>
            <w:tcMar>
              <w:top w:w="80" w:type="dxa"/>
              <w:start w:w="110" w:type="dxa"/>
              <w:bottom w:w="80" w:type="dxa"/>
              <w:end w:w="110" w:type="dxa"/>
            </w:tcMar>
            <w:shd w:fill="FFFFFF"/>
          </w:tcPr>
          <w:p>
            <w:pPr>
              <w:spacing w:before="0" w:after="0" w:line="259" w:lineRule="auto"/>
              <w:jc w:val="left"/>
            </w:pPr>
            <w:r>
              <w:rPr>
                <w:rFonts w:ascii="Calibri" w:hAnsi="Calibri" w:eastAsia="Calibri"/>
                <w:b w:val="0"/>
                <w:i w:val="0"/>
                <w:color w:val="2D2D2D"/>
                <w:sz w:val="19"/>
              </w:rPr>
              <w:t>Migration aus Low-Code-Systemen ist meist kein eingebauter Standardfall.</w:t>
            </w:r>
          </w:p>
        </w:tc>
      </w:tr>
    </w:tbl>
    <w:p/>
    <w:p>
      <w:pPr>
        <w:pStyle w:val="Heading1"/>
        <w:keepNext/>
        <w:spacing w:before="120" w:after="60" w:line="252" w:lineRule="auto"/>
      </w:pPr>
      <w:r>
        <w:rPr>
          <w:rFonts w:ascii="Calibri" w:hAnsi="Calibri" w:eastAsia="Calibri"/>
          <w:b/>
          <w:i w:val="0"/>
          <w:color w:val="16406F"/>
          <w:sz w:val="30"/>
        </w:rPr>
        <w:t>5. Wann MOSAIC organisatorisch gut passt</w:t>
      </w:r>
    </w:p>
    <w:p>
      <w:pPr>
        <w:pStyle w:val="ListBullet"/>
        <w:spacing w:before="0" w:after="40" w:line="264" w:lineRule="auto"/>
      </w:pPr>
      <w:r>
        <w:rPr>
          <w:rFonts w:ascii="Calibri" w:hAnsi="Calibri" w:eastAsia="Calibri"/>
          <w:b w:val="0"/>
          <w:i w:val="0"/>
          <w:color w:val="2D2D2D"/>
          <w:sz w:val="20"/>
        </w:rPr>
        <w:t>Wenn standardisierte Fachoberflaechen fuer datenbanknahe Prozesse schneller und konsistenter bereitgestellt werden sollen.</w:t>
      </w:r>
    </w:p>
    <w:p>
      <w:pPr>
        <w:pStyle w:val="ListBullet"/>
        <w:spacing w:before="0" w:after="40" w:line="264" w:lineRule="auto"/>
      </w:pPr>
      <w:r>
        <w:rPr>
          <w:rFonts w:ascii="Calibri" w:hAnsi="Calibri" w:eastAsia="Calibri"/>
          <w:b w:val="0"/>
          <w:i w:val="0"/>
          <w:color w:val="2D2D2D"/>
          <w:sz w:val="20"/>
        </w:rPr>
        <w:t>Wenn Wartung und Updatefaehigkeit im Betrieb eine hoehere Prioritaet haben als maximale Freiheit in der Einzelimplementierung jeder Maske.</w:t>
      </w:r>
    </w:p>
    <w:p>
      <w:pPr>
        <w:pStyle w:val="ListBullet"/>
        <w:spacing w:before="0" w:after="40" w:line="264" w:lineRule="auto"/>
      </w:pPr>
      <w:r>
        <w:rPr>
          <w:rFonts w:ascii="Calibri" w:hAnsi="Calibri" w:eastAsia="Calibri"/>
          <w:b w:val="0"/>
          <w:i w:val="0"/>
          <w:color w:val="2D2D2D"/>
          <w:sz w:val="20"/>
        </w:rPr>
        <w:t>Wenn Mehrsprachigkeit, Dateiablage, Listen/Formulare und Dashboarding moeglichst als wiederverwendbare Standardfunktion bereitstehen sollen.</w:t>
      </w:r>
    </w:p>
    <w:p>
      <w:pPr>
        <w:pStyle w:val="ListBullet"/>
        <w:spacing w:before="0" w:after="40" w:line="264" w:lineRule="auto"/>
      </w:pPr>
      <w:r>
        <w:rPr>
          <w:rFonts w:ascii="Calibri" w:hAnsi="Calibri" w:eastAsia="Calibri"/>
          <w:b w:val="0"/>
          <w:i w:val="0"/>
          <w:color w:val="2D2D2D"/>
          <w:sz w:val="20"/>
        </w:rPr>
        <w:t>Wenn ein vorhandener Scriptcase-Bestand mit vertretbarer Nachbearbeitung weiterentwickelt werden soll.</w:t>
      </w:r>
    </w:p>
    <w:p>
      <w:pPr>
        <w:pStyle w:val="Heading1"/>
        <w:keepNext/>
        <w:spacing w:before="120" w:after="60" w:line="252" w:lineRule="auto"/>
      </w:pPr>
      <w:r>
        <w:rPr>
          <w:rFonts w:ascii="Calibri" w:hAnsi="Calibri" w:eastAsia="Calibri"/>
          <w:b/>
          <w:i w:val="0"/>
          <w:color w:val="16406F"/>
          <w:sz w:val="30"/>
        </w:rPr>
        <w:t>6. Punkte, die in der Planung bewusst bewertet werden sollten</w:t>
      </w:r>
    </w:p>
    <w:p>
      <w:pPr>
        <w:pStyle w:val="ListBullet"/>
        <w:spacing w:before="0" w:after="40" w:line="264" w:lineRule="auto"/>
      </w:pPr>
      <w:r>
        <w:rPr>
          <w:rFonts w:ascii="Calibri" w:hAnsi="Calibri" w:eastAsia="Calibri"/>
          <w:b w:val="0"/>
          <w:i w:val="0"/>
          <w:color w:val="2D2D2D"/>
          <w:sz w:val="20"/>
        </w:rPr>
        <w:t>Der Nutzen entsteht nur dann voll, wenn sich das Team auf das Konfigurations- und Modulmodell einlaesst und nicht dagegen entwickelt.</w:t>
      </w:r>
    </w:p>
    <w:p>
      <w:pPr>
        <w:pStyle w:val="ListBullet"/>
        <w:spacing w:before="0" w:after="40" w:line="264" w:lineRule="auto"/>
      </w:pPr>
      <w:r>
        <w:rPr>
          <w:rFonts w:ascii="Calibri" w:hAnsi="Calibri" w:eastAsia="Calibri"/>
          <w:b w:val="0"/>
          <w:i w:val="0"/>
          <w:color w:val="2D2D2D"/>
          <w:sz w:val="20"/>
        </w:rPr>
        <w:t>Der Kern ist mit IonCube geschuetzt; passende Laufzeitumgebungen muessen deshalb im Zielbetrieb vorgesehen werden.</w:t>
      </w:r>
    </w:p>
    <w:p>
      <w:pPr>
        <w:pStyle w:val="ListBullet"/>
        <w:spacing w:before="0" w:after="40" w:line="264" w:lineRule="auto"/>
      </w:pPr>
      <w:r>
        <w:rPr>
          <w:rFonts w:ascii="Calibri" w:hAnsi="Calibri" w:eastAsia="Calibri"/>
          <w:b w:val="0"/>
          <w:i w:val="0"/>
          <w:color w:val="2D2D2D"/>
          <w:sz w:val="20"/>
        </w:rPr>
        <w:t>Der dokumentierte Fokus liegt klar auf PHP plus MySQL und auf dem MOSAIC-eigenen Betriebsmodell. Fuer breit streuende Technologieziele ist das kein neutraler, sondern ein bewusst fokussierter Ansatz.</w:t>
      </w:r>
    </w:p>
    <w:p>
      <w:pPr>
        <w:pStyle w:val="ListBullet"/>
        <w:spacing w:before="0" w:after="40" w:line="264" w:lineRule="auto"/>
      </w:pPr>
      <w:r>
        <w:rPr>
          <w:rFonts w:ascii="Calibri" w:hAnsi="Calibri" w:eastAsia="Calibri"/>
          <w:b w:val="0"/>
          <w:i w:val="0"/>
          <w:color w:val="2D2D2D"/>
          <w:sz w:val="20"/>
        </w:rPr>
        <w:t>Die Scriptcase-Konvertierung uebernimmt wesentliche Bestandteile, aber keine vollstaendig risikofreie Eins-zu-eins-Migration.</w:t>
      </w:r>
    </w:p>
    <w:p>
      <w:pPr>
        <w:pStyle w:val="Heading1"/>
        <w:keepNext/>
        <w:spacing w:before="120" w:after="60" w:line="252" w:lineRule="auto"/>
      </w:pPr>
      <w:r>
        <w:rPr>
          <w:rFonts w:ascii="Calibri" w:hAnsi="Calibri" w:eastAsia="Calibri"/>
          <w:b/>
          <w:i w:val="0"/>
          <w:color w:val="16406F"/>
          <w:sz w:val="30"/>
        </w:rPr>
        <w:t>7. Management-Fazit</w:t>
      </w:r>
    </w:p>
    <w:p>
      <w:pPr>
        <w:spacing w:before="0" w:after="100" w:line="283" w:lineRule="auto"/>
        <w:jc w:val="both"/>
      </w:pPr>
      <w:r>
        <w:rPr>
          <w:rFonts w:ascii="Calibri" w:hAnsi="Calibri" w:eastAsia="Calibri"/>
          <w:b w:val="0"/>
          <w:i w:val="0"/>
          <w:color w:val="2D2D2D"/>
          <w:sz w:val="21"/>
        </w:rPr>
        <w:t>MOSAIC ist aus den vorliegenden Unterlagen vor allem als konsequent standardisiertes Anwendungsframework zu lesen. Die strategische Staerke liegt in der kontrollierbaren Laufzeitarchitektur, der klaren Trennung von Kern und Projekt sowie in der breiten Palette integrierter Bausteine. Fuer Organisationen mit wiederkehrenden datengetriebenen Fachmasken kann das zu geringerer Komplexitaet im Betrieb und zu einer besser planbaren Weiterentwicklung fuehren.</w:t>
      </w:r>
    </w:p>
    <w:p>
      <w:r>
        <w:br w:type="page"/>
      </w:r>
    </w:p>
    <w:p>
      <w:pPr>
        <w:pStyle w:val="Heading1"/>
      </w:pPr>
      <w:r>
        <w:t>Anhang: Runner-Stand im Kern</w:t>
      </w:r>
    </w:p>
    <w:p>
      <w:pPr/>
      <w:r>
        <w:t>Stand April 2026 gilt im MOSAIC-Kern ein einheitliches Runner-Schema. Die Dateien grid.php, form.php und egrid.php bleiben die drei generischen CRUD-Runner. Alle anderen fachlichen Runner verwenden konsequent das Praefix show_.</w:t>
      </w:r>
    </w:p>
    <w:p>
      <w:pPr>
        <w:pStyle w:val="ListBullet"/>
      </w:pPr>
      <w:r>
        <w:t>Kanonische Spezialrunner sind unter anderem show_menu.php, show_dashboard.php, show_report.php, show_chart.php, show_login.php und show_v_menu.php.</w:t>
      </w:r>
    </w:p>
    <w:p>
      <w:pPr>
        <w:pStyle w:val="ListBullet"/>
      </w:pPr>
      <w:r>
        <w:t>Fruehere Alt-Namen gehoeren nicht mehr zum aktiven Kernbereich.</w:t>
      </w:r>
    </w:p>
    <w:sectPr w:rsidR="00FC693F" w:rsidRPr="0006063C" w:rsidSect="00034616">
      <w:headerReference w:type="default" r:id="rId9"/>
      <w:footerReference w:type="default" r:id="rId10"/>
      <w:pgSz w:w="12240" w:h="15840"/>
      <w:pgMar w:top="1020" w:right="1134" w:bottom="907" w:left="1134"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line="240" w:lineRule="auto"/>
      <w:jc w:val="left"/>
    </w:pPr>
    <w:r>
      <w:rPr>
        <w:rFonts w:ascii="Calibri" w:hAnsi="Calibri" w:eastAsia="Calibri"/>
        <w:b w:val="0"/>
        <w:i w:val="0"/>
        <w:color w:val="646464"/>
        <w:sz w:val="17"/>
      </w:rPr>
      <w:t>Stand: 17.03.2026</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line="240" w:lineRule="auto"/>
      <w:jc w:val="right"/>
    </w:pPr>
    <w:r>
      <w:rPr>
        <w:rFonts w:ascii="Calibri" w:hAnsi="Calibri" w:eastAsia="Calibri"/>
        <w:b w:val="0"/>
        <w:i w:val="0"/>
        <w:color w:val="646464"/>
        <w:sz w:val="17"/>
      </w:rPr>
      <w:t>ISS MOSAIC - Management-Kurzfassung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2D2D2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16406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16406F"/>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16406F"/>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Calibri" w:hAnsi="Calibri"/>
      <w:b/>
      <w:color w:val="16406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