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4D6" w:rsidRDefault="000F6872">
      <w:pPr>
        <w:spacing w:before="600" w:after="120"/>
      </w:pPr>
      <w:bookmarkStart w:id="0" w:name="_GoBack"/>
      <w:bookmarkEnd w:id="0"/>
      <w:r>
        <w:rPr>
          <w:rFonts w:eastAsia="Calibri"/>
          <w:b/>
          <w:color w:val="0E5C80"/>
          <w:sz w:val="25"/>
        </w:rPr>
        <w:t>ISS MOSAIC</w:t>
      </w:r>
    </w:p>
    <w:p w:rsidR="00B544D6" w:rsidRDefault="000F6872">
      <w:pPr>
        <w:spacing w:after="120" w:line="240" w:lineRule="auto"/>
      </w:pPr>
      <w:r>
        <w:rPr>
          <w:rFonts w:eastAsia="Calibri"/>
          <w:b/>
          <w:color w:val="16406F"/>
          <w:sz w:val="52"/>
        </w:rPr>
        <w:t>Technische Detaildokumentation</w:t>
      </w:r>
    </w:p>
    <w:p w:rsidR="00B544D6" w:rsidRDefault="000F6872">
      <w:pPr>
        <w:spacing w:after="240" w:line="259" w:lineRule="auto"/>
      </w:pPr>
      <w:r>
        <w:rPr>
          <w:rFonts w:eastAsia="Calibri"/>
          <w:color w:val="646464"/>
          <w:sz w:val="23"/>
        </w:rPr>
        <w:t>Vertiefende Entwicklerdokumentation zu Laufzeitmodell, Konfigurationsstruktur, Erweiterungspunkten und technischen Bausteinen.</w:t>
      </w:r>
    </w:p>
    <w:tbl>
      <w:tblPr>
        <w:tblStyle w:val="Tabellenraster"/>
        <w:tblW w:w="0" w:type="auto"/>
        <w:tblLook w:val="04A0" w:firstRow="1" w:lastRow="0" w:firstColumn="1" w:lastColumn="0" w:noHBand="0" w:noVBand="1"/>
      </w:tblPr>
      <w:tblGrid>
        <w:gridCol w:w="4986"/>
        <w:gridCol w:w="4986"/>
      </w:tblGrid>
      <w:tr w:rsidR="00B544D6">
        <w:tc>
          <w:tcPr>
            <w:tcW w:w="4986" w:type="dxa"/>
            <w:shd w:val="clear" w:color="auto" w:fill="D6EEF3"/>
            <w:tcMar>
              <w:top w:w="80" w:type="dxa"/>
              <w:left w:w="110" w:type="dxa"/>
              <w:bottom w:w="80" w:type="dxa"/>
              <w:right w:w="110" w:type="dxa"/>
            </w:tcMar>
            <w:vAlign w:val="center"/>
          </w:tcPr>
          <w:p w:rsidR="00B544D6" w:rsidRDefault="000F6872">
            <w:pPr>
              <w:spacing w:line="264" w:lineRule="auto"/>
            </w:pPr>
            <w:r>
              <w:rPr>
                <w:rFonts w:eastAsia="Calibri"/>
                <w:b/>
                <w:color w:val="16406F"/>
                <w:sz w:val="20"/>
              </w:rPr>
              <w:t>Zielgruppe</w:t>
            </w:r>
          </w:p>
        </w:tc>
        <w:tc>
          <w:tcPr>
            <w:tcW w:w="4986" w:type="dxa"/>
            <w:tcMar>
              <w:top w:w="80" w:type="dxa"/>
              <w:left w:w="110" w:type="dxa"/>
              <w:bottom w:w="80" w:type="dxa"/>
              <w:right w:w="110" w:type="dxa"/>
            </w:tcMar>
            <w:vAlign w:val="center"/>
          </w:tcPr>
          <w:p w:rsidR="00B544D6" w:rsidRDefault="000F6872">
            <w:pPr>
              <w:spacing w:line="269" w:lineRule="auto"/>
            </w:pPr>
            <w:r>
              <w:rPr>
                <w:rFonts w:eastAsia="Calibri"/>
                <w:sz w:val="19"/>
              </w:rPr>
              <w:t>Entwicklerinnen und Entwickler, die MOSAIC technisch einordnen, konfigurieren, erweitern oder migrieren wollen.</w:t>
            </w:r>
          </w:p>
        </w:tc>
      </w:tr>
      <w:tr w:rsidR="00B544D6">
        <w:tc>
          <w:tcPr>
            <w:tcW w:w="4986" w:type="dxa"/>
            <w:shd w:val="clear" w:color="auto" w:fill="D6EEF3"/>
            <w:tcMar>
              <w:top w:w="80" w:type="dxa"/>
              <w:left w:w="110" w:type="dxa"/>
              <w:bottom w:w="80" w:type="dxa"/>
              <w:right w:w="110" w:type="dxa"/>
            </w:tcMar>
            <w:vAlign w:val="center"/>
          </w:tcPr>
          <w:p w:rsidR="00B544D6" w:rsidRDefault="000F6872">
            <w:pPr>
              <w:spacing w:line="264" w:lineRule="auto"/>
            </w:pPr>
            <w:r>
              <w:rPr>
                <w:rFonts w:eastAsia="Calibri"/>
                <w:b/>
                <w:color w:val="16406F"/>
                <w:sz w:val="20"/>
              </w:rPr>
              <w:t>Schwerpunkt</w:t>
            </w:r>
          </w:p>
        </w:tc>
        <w:tc>
          <w:tcPr>
            <w:tcW w:w="4986" w:type="dxa"/>
            <w:tcMar>
              <w:top w:w="80" w:type="dxa"/>
              <w:left w:w="110" w:type="dxa"/>
              <w:bottom w:w="80" w:type="dxa"/>
              <w:right w:w="110" w:type="dxa"/>
            </w:tcMar>
            <w:vAlign w:val="center"/>
          </w:tcPr>
          <w:p w:rsidR="00B544D6" w:rsidRDefault="000F6872">
            <w:pPr>
              <w:spacing w:line="269" w:lineRule="auto"/>
            </w:pPr>
            <w:r>
              <w:rPr>
                <w:rFonts w:eastAsia="Calibri"/>
                <w:sz w:val="19"/>
              </w:rPr>
              <w:t>Architektur, Projektstruktur, Grid- und Form-Konfiguration, Feldtypen, Erweiterungspunkte, Querschnittsfunktionen und Scriptcase-Migration.</w:t>
            </w:r>
          </w:p>
        </w:tc>
      </w:tr>
      <w:tr w:rsidR="00B544D6">
        <w:tc>
          <w:tcPr>
            <w:tcW w:w="4986" w:type="dxa"/>
            <w:shd w:val="clear" w:color="auto" w:fill="D6EEF3"/>
            <w:tcMar>
              <w:top w:w="80" w:type="dxa"/>
              <w:left w:w="110" w:type="dxa"/>
              <w:bottom w:w="80" w:type="dxa"/>
              <w:right w:w="110" w:type="dxa"/>
            </w:tcMar>
            <w:vAlign w:val="center"/>
          </w:tcPr>
          <w:p w:rsidR="00B544D6" w:rsidRDefault="000F6872">
            <w:pPr>
              <w:spacing w:line="264" w:lineRule="auto"/>
            </w:pPr>
            <w:r>
              <w:rPr>
                <w:rFonts w:eastAsia="Calibri"/>
                <w:b/>
                <w:color w:val="16406F"/>
                <w:sz w:val="20"/>
              </w:rPr>
              <w:t>Technischer Rahmen</w:t>
            </w:r>
          </w:p>
        </w:tc>
        <w:tc>
          <w:tcPr>
            <w:tcW w:w="4986" w:type="dxa"/>
            <w:tcMar>
              <w:top w:w="80" w:type="dxa"/>
              <w:left w:w="110" w:type="dxa"/>
              <w:bottom w:w="80" w:type="dxa"/>
              <w:right w:w="110" w:type="dxa"/>
            </w:tcMar>
            <w:vAlign w:val="center"/>
          </w:tcPr>
          <w:p w:rsidR="00B544D6" w:rsidRDefault="000F6872">
            <w:pPr>
              <w:spacing w:line="269" w:lineRule="auto"/>
            </w:pPr>
            <w:r>
              <w:rPr>
                <w:rFonts w:eastAsia="Calibri"/>
                <w:sz w:val="19"/>
              </w:rPr>
              <w:t>PHP 8.1 bis 8.3, MySQL, zentrale Laufzeitkomponenten, projektspezifische Funktionsdateien und dateibasierte Querschnittsverzeichnisse.</w:t>
            </w:r>
          </w:p>
        </w:tc>
      </w:tr>
      <w:tr w:rsidR="00B544D6">
        <w:tc>
          <w:tcPr>
            <w:tcW w:w="4986" w:type="dxa"/>
            <w:shd w:val="clear" w:color="auto" w:fill="D6EEF3"/>
            <w:tcMar>
              <w:top w:w="80" w:type="dxa"/>
              <w:left w:w="110" w:type="dxa"/>
              <w:bottom w:w="80" w:type="dxa"/>
              <w:right w:w="110" w:type="dxa"/>
            </w:tcMar>
            <w:vAlign w:val="center"/>
          </w:tcPr>
          <w:p w:rsidR="00B544D6" w:rsidRDefault="000F6872">
            <w:pPr>
              <w:spacing w:line="264" w:lineRule="auto"/>
            </w:pPr>
            <w:r>
              <w:rPr>
                <w:rFonts w:eastAsia="Calibri"/>
                <w:b/>
                <w:color w:val="16406F"/>
                <w:sz w:val="20"/>
              </w:rPr>
              <w:t>Quelle</w:t>
            </w:r>
          </w:p>
        </w:tc>
        <w:tc>
          <w:tcPr>
            <w:tcW w:w="4986" w:type="dxa"/>
            <w:tcMar>
              <w:top w:w="80" w:type="dxa"/>
              <w:left w:w="110" w:type="dxa"/>
              <w:bottom w:w="80" w:type="dxa"/>
              <w:right w:w="110" w:type="dxa"/>
            </w:tcMar>
            <w:vAlign w:val="center"/>
          </w:tcPr>
          <w:p w:rsidR="00B544D6" w:rsidRDefault="000F6872">
            <w:pPr>
              <w:spacing w:line="269" w:lineRule="auto"/>
            </w:pPr>
            <w:r>
              <w:rPr>
                <w:rFonts w:eastAsia="Calibri"/>
                <w:sz w:val="19"/>
              </w:rPr>
              <w:t>Ausschliesslich aus den im Projekt bereitgestellten MOSAIC-Unterlagen abgeleitet.</w:t>
            </w:r>
          </w:p>
        </w:tc>
      </w:tr>
    </w:tbl>
    <w:p w:rsidR="00B544D6" w:rsidRDefault="00B544D6"/>
    <w:tbl>
      <w:tblPr>
        <w:tblW w:w="0" w:type="auto"/>
        <w:jc w:val="center"/>
        <w:tblLook w:val="04A0" w:firstRow="1" w:lastRow="0" w:firstColumn="1" w:lastColumn="0" w:noHBand="0" w:noVBand="1"/>
      </w:tblPr>
      <w:tblGrid>
        <w:gridCol w:w="9972"/>
      </w:tblGrid>
      <w:tr w:rsidR="00B544D6">
        <w:trPr>
          <w:jc w:val="center"/>
        </w:trPr>
        <w:tc>
          <w:tcPr>
            <w:tcW w:w="9972" w:type="dxa"/>
            <w:tcBorders>
              <w:top w:val="single" w:sz="12" w:space="0" w:color="5B9BD5"/>
              <w:left w:val="single" w:sz="12" w:space="0" w:color="5B9BD5"/>
              <w:bottom w:val="single" w:sz="12" w:space="0" w:color="5B9BD5"/>
              <w:right w:val="single" w:sz="12" w:space="0" w:color="5B9BD5"/>
            </w:tcBorders>
            <w:shd w:val="clear" w:color="auto" w:fill="EDF4FD"/>
            <w:tcMar>
              <w:top w:w="110" w:type="dxa"/>
              <w:left w:w="120" w:type="dxa"/>
              <w:bottom w:w="110" w:type="dxa"/>
              <w:right w:w="120" w:type="dxa"/>
            </w:tcMar>
          </w:tcPr>
          <w:p w:rsidR="00B544D6" w:rsidRDefault="000F6872">
            <w:pPr>
              <w:spacing w:after="0" w:line="269" w:lineRule="auto"/>
            </w:pPr>
            <w:r>
              <w:rPr>
                <w:rFonts w:eastAsia="Calibri"/>
                <w:b/>
                <w:color w:val="16406F"/>
              </w:rPr>
              <w:t xml:space="preserve">Technische Kernthese: </w:t>
            </w:r>
            <w:r>
              <w:rPr>
                <w:rFonts w:eastAsia="Calibri"/>
                <w:sz w:val="20"/>
              </w:rPr>
              <w:t>MOSAIC verlagert einen grossen Teil der Anwendungsdefinition in Konfigurationsdateien. Der Framework-Kern uebernimmt die generische Ausfuehrung, waehrend Projekte vor allem Konfigurationen, modulbezogene Funktionen und ihre eigenen Artefakte liefern.</w:t>
            </w:r>
          </w:p>
        </w:tc>
      </w:tr>
    </w:tbl>
    <w:p w:rsidR="00B544D6" w:rsidRDefault="00B544D6"/>
    <w:p w:rsidR="00B544D6" w:rsidRDefault="000F6872">
      <w:pPr>
        <w:pStyle w:val="berschrift1"/>
        <w:spacing w:before="120" w:after="60" w:line="252" w:lineRule="auto"/>
      </w:pPr>
      <w:r>
        <w:rPr>
          <w:rFonts w:ascii="Calibri" w:eastAsia="Calibri" w:hAnsi="Calibri"/>
        </w:rPr>
        <w:t>1. Architektur und Laufzeitmodell</w:t>
      </w:r>
    </w:p>
    <w:p w:rsidR="00B544D6" w:rsidRDefault="000F6872">
      <w:pPr>
        <w:spacing w:after="100" w:line="283" w:lineRule="auto"/>
        <w:jc w:val="both"/>
      </w:pPr>
      <w:r>
        <w:rPr>
          <w:rFonts w:eastAsia="Calibri"/>
        </w:rPr>
        <w:t>Die Beschreibungsunterlage betont, dass alle Grids auf einem zentralen Grid basieren und nicht fuer jede Anwendung neu kompiliert werden. Zusammen mit den Form-Beispielen ergibt sich ein konsistentes Muster: Eine Anwendung wird ueber eine Konfigurationsdatei und eine passende Funktionsdatei beschrieben; die eigentliche Ausfuehrungslogik liegt im Framework-Kern.</w:t>
      </w:r>
    </w:p>
    <w:tbl>
      <w:tblPr>
        <w:tblStyle w:val="Tabellenraster"/>
        <w:tblW w:w="0" w:type="auto"/>
        <w:jc w:val="center"/>
        <w:tblLook w:val="04A0" w:firstRow="1" w:lastRow="0" w:firstColumn="1" w:lastColumn="0" w:noHBand="0" w:noVBand="1"/>
      </w:tblPr>
      <w:tblGrid>
        <w:gridCol w:w="4460"/>
        <w:gridCol w:w="5732"/>
      </w:tblGrid>
      <w:tr w:rsidR="00B544D6">
        <w:trPr>
          <w:tblHeader/>
          <w:jc w:val="center"/>
        </w:trPr>
        <w:tc>
          <w:tcPr>
            <w:tcW w:w="4986" w:type="dxa"/>
            <w:shd w:val="clear" w:color="auto" w:fill="1F4E79"/>
            <w:tcMar>
              <w:top w:w="80" w:type="dxa"/>
              <w:left w:w="110" w:type="dxa"/>
              <w:bottom w:w="80" w:type="dxa"/>
              <w:right w:w="110" w:type="dxa"/>
            </w:tcMar>
            <w:vAlign w:val="center"/>
          </w:tcPr>
          <w:p w:rsidR="00B544D6" w:rsidRDefault="000F6872">
            <w:pPr>
              <w:jc w:val="center"/>
            </w:pPr>
            <w:r>
              <w:rPr>
                <w:rFonts w:eastAsia="Calibri"/>
                <w:b/>
                <w:color w:val="FFFFFF"/>
                <w:sz w:val="20"/>
              </w:rPr>
              <w:t>Architekturelement</w:t>
            </w:r>
          </w:p>
        </w:tc>
        <w:tc>
          <w:tcPr>
            <w:tcW w:w="4986" w:type="dxa"/>
            <w:shd w:val="clear" w:color="auto" w:fill="1F4E79"/>
            <w:tcMar>
              <w:top w:w="80" w:type="dxa"/>
              <w:left w:w="110" w:type="dxa"/>
              <w:bottom w:w="80" w:type="dxa"/>
              <w:right w:w="110" w:type="dxa"/>
            </w:tcMar>
            <w:vAlign w:val="center"/>
          </w:tcPr>
          <w:p w:rsidR="00B544D6" w:rsidRDefault="000F6872">
            <w:pPr>
              <w:jc w:val="center"/>
            </w:pPr>
            <w:r>
              <w:rPr>
                <w:rFonts w:eastAsia="Calibri"/>
                <w:b/>
                <w:color w:val="FFFFFF"/>
                <w:sz w:val="20"/>
              </w:rPr>
              <w:t>Technische Bedeutung</w:t>
            </w:r>
          </w:p>
        </w:tc>
      </w:tr>
      <w:tr w:rsidR="00B544D6">
        <w:trPr>
          <w:jc w:val="center"/>
        </w:trPr>
        <w:tc>
          <w:tcPr>
            <w:tcW w:w="2551"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Konfigurationsdateien</w:t>
            </w:r>
          </w:p>
        </w:tc>
        <w:tc>
          <w:tcPr>
            <w:tcW w:w="6520"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Deklarieren Struktur, Felder, Suchverhalten, Berechtigungen, Exporte, Layout und fachliche Metadaten.</w:t>
            </w:r>
          </w:p>
        </w:tc>
      </w:tr>
      <w:tr w:rsidR="00B544D6">
        <w:trPr>
          <w:jc w:val="center"/>
        </w:trPr>
        <w:tc>
          <w:tcPr>
            <w:tcW w:w="2551"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Zentrale Laufzeit</w:t>
            </w:r>
          </w:p>
        </w:tc>
        <w:tc>
          <w:tcPr>
            <w:tcW w:w="6520"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Interpretiert die Konfiguration zur Laufzeit und erzeugt daraus das Verhalten der Applikation.</w:t>
            </w:r>
          </w:p>
        </w:tc>
      </w:tr>
      <w:tr w:rsidR="00B544D6">
        <w:trPr>
          <w:jc w:val="center"/>
        </w:trPr>
        <w:tc>
          <w:tcPr>
            <w:tcW w:w="2551"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Funktionsdateien</w:t>
            </w:r>
          </w:p>
        </w:tc>
        <w:tc>
          <w:tcPr>
            <w:tcW w:w="6520"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Kapseln projektspezifische Aktionen oder Sonderlogik ausserhalb des generischen Kerns.</w:t>
            </w:r>
          </w:p>
        </w:tc>
      </w:tr>
      <w:tr w:rsidR="00B544D6">
        <w:trPr>
          <w:jc w:val="center"/>
        </w:trPr>
        <w:tc>
          <w:tcPr>
            <w:tcW w:w="2551"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Projektordner</w:t>
            </w:r>
          </w:p>
        </w:tc>
        <w:tc>
          <w:tcPr>
            <w:tcW w:w="6520"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Fassen Module, Menues, Login, Libraries, Dateispeicher und Uebersetzungsdateien zusammen.</w:t>
            </w:r>
          </w:p>
        </w:tc>
      </w:tr>
    </w:tbl>
    <w:p w:rsidR="00B544D6" w:rsidRDefault="00B544D6"/>
    <w:p w:rsidR="00B544D6" w:rsidRDefault="000F6872">
      <w:pPr>
        <w:spacing w:after="100" w:line="283" w:lineRule="auto"/>
        <w:jc w:val="both"/>
      </w:pPr>
      <w:r>
        <w:rPr>
          <w:rFonts w:eastAsia="Calibri"/>
        </w:rPr>
        <w:lastRenderedPageBreak/>
        <w:t>Fuer die Entwicklungspraxis heisst das: MOSAIC ist kein generischer PHP-Baukasten im Stil eines minimalen Frameworks, sondern ein konfigurationsgetriebenes Produktivmodell. Die Leitfrage lautet daher oft nicht zuerst, welchen Controller man schreibt, sondern welche Teile sich bereits ueber Konfiguration beschreiben lassen und wo eine Funktionsdatei gebraucht wird.</w:t>
      </w:r>
    </w:p>
    <w:p w:rsidR="00B544D6" w:rsidRDefault="000F6872">
      <w:pPr>
        <w:pStyle w:val="berschrift1"/>
        <w:spacing w:before="120" w:after="60" w:line="252" w:lineRule="auto"/>
      </w:pPr>
      <w:r>
        <w:rPr>
          <w:rFonts w:ascii="Calibri" w:eastAsia="Calibri" w:hAnsi="Calibri"/>
        </w:rPr>
        <w:t>2. Verzeichnis- und Deploymentmodell</w:t>
      </w:r>
    </w:p>
    <w:p w:rsidR="00B544D6" w:rsidRDefault="000F6872">
      <w:pPr>
        <w:spacing w:after="100" w:line="283" w:lineRule="auto"/>
        <w:jc w:val="both"/>
      </w:pPr>
      <w:r>
        <w:rPr>
          <w:rFonts w:eastAsia="Calibri"/>
        </w:rPr>
        <w:t>Die Ordnerstruktur zeigt das organisatorische Rueckgrat des Systems. Unterhalb des Webroots liegt der ISS-MOSAIC-Stammpfad, darin der Kernpfad _pgm. Daneben existiert je Projekt ein eigener Bestand mit Modulordnern, Libraries, Dateispeicher und Sprachcache.</w:t>
      </w:r>
    </w:p>
    <w:p w:rsidR="00B544D6" w:rsidRDefault="000F6872">
      <w:pPr>
        <w:keepNext/>
        <w:spacing w:before="20" w:after="40" w:line="240" w:lineRule="auto"/>
      </w:pPr>
      <w:r>
        <w:rPr>
          <w:rFonts w:eastAsia="Calibri"/>
          <w:b/>
          <w:color w:val="16406F"/>
          <w:sz w:val="20"/>
        </w:rPr>
        <w:t>Schematische Struktur nach den Projektunterlagen</w:t>
      </w:r>
    </w:p>
    <w:tbl>
      <w:tblPr>
        <w:tblW w:w="0" w:type="auto"/>
        <w:jc w:val="center"/>
        <w:tblLook w:val="04A0" w:firstRow="1" w:lastRow="0" w:firstColumn="1" w:lastColumn="0" w:noHBand="0" w:noVBand="1"/>
      </w:tblPr>
      <w:tblGrid>
        <w:gridCol w:w="9972"/>
      </w:tblGrid>
      <w:tr w:rsidR="00B544D6">
        <w:trPr>
          <w:jc w:val="center"/>
        </w:trPr>
        <w:tc>
          <w:tcPr>
            <w:tcW w:w="9972" w:type="dxa"/>
            <w:tcBorders>
              <w:top w:val="single" w:sz="6" w:space="0" w:color="C9D3DE"/>
              <w:left w:val="single" w:sz="6" w:space="0" w:color="C9D3DE"/>
              <w:bottom w:val="single" w:sz="6" w:space="0" w:color="C9D3DE"/>
              <w:right w:val="single" w:sz="6" w:space="0" w:color="C9D3DE"/>
            </w:tcBorders>
            <w:shd w:val="clear" w:color="auto" w:fill="F5F7FA"/>
            <w:tcMar>
              <w:top w:w="90" w:type="dxa"/>
              <w:left w:w="120" w:type="dxa"/>
              <w:bottom w:w="90" w:type="dxa"/>
              <w:right w:w="120" w:type="dxa"/>
            </w:tcMar>
          </w:tcPr>
          <w:p w:rsidR="00B544D6" w:rsidRDefault="000F6872">
            <w:pPr>
              <w:spacing w:after="0" w:line="245" w:lineRule="auto"/>
            </w:pPr>
            <w:r>
              <w:rPr>
                <w:rFonts w:ascii="Courier New" w:eastAsia="Courier New" w:hAnsi="Courier New"/>
                <w:color w:val="373737"/>
                <w:sz w:val="17"/>
              </w:rPr>
              <w:t>ISS/</w:t>
            </w:r>
            <w:r>
              <w:rPr>
                <w:rFonts w:ascii="Courier New" w:eastAsia="Courier New" w:hAnsi="Courier New"/>
                <w:color w:val="373737"/>
                <w:sz w:val="17"/>
              </w:rPr>
              <w:br/>
              <w:t>|-- _pgm/</w:t>
            </w:r>
            <w:r>
              <w:rPr>
                <w:rFonts w:ascii="Courier New" w:eastAsia="Courier New" w:hAnsi="Courier New"/>
                <w:color w:val="373737"/>
                <w:sz w:val="17"/>
              </w:rPr>
              <w:br/>
              <w:t>|   |-- admin/</w:t>
            </w:r>
            <w:r>
              <w:rPr>
                <w:rFonts w:ascii="Courier New" w:eastAsia="Courier New" w:hAnsi="Courier New"/>
                <w:color w:val="373737"/>
                <w:sz w:val="17"/>
              </w:rPr>
              <w:br/>
              <w:t>|-- &lt;projekt&gt;/</w:t>
            </w:r>
            <w:r>
              <w:rPr>
                <w:rFonts w:ascii="Courier New" w:eastAsia="Courier New" w:hAnsi="Courier New"/>
                <w:color w:val="373737"/>
                <w:sz w:val="17"/>
              </w:rPr>
              <w:br/>
              <w:t>|   |-- _deepl_cache/</w:t>
            </w:r>
            <w:r>
              <w:rPr>
                <w:rFonts w:ascii="Courier New" w:eastAsia="Courier New" w:hAnsi="Courier New"/>
                <w:color w:val="373737"/>
                <w:sz w:val="17"/>
              </w:rPr>
              <w:br/>
              <w:t>|   |-- _file_store/</w:t>
            </w:r>
            <w:r>
              <w:rPr>
                <w:rFonts w:ascii="Courier New" w:eastAsia="Courier New" w:hAnsi="Courier New"/>
                <w:color w:val="373737"/>
                <w:sz w:val="17"/>
              </w:rPr>
              <w:br/>
              <w:t>|   |-- _lib/</w:t>
            </w:r>
            <w:r>
              <w:rPr>
                <w:rFonts w:ascii="Courier New" w:eastAsia="Courier New" w:hAnsi="Courier New"/>
                <w:color w:val="373737"/>
                <w:sz w:val="17"/>
              </w:rPr>
              <w:br/>
              <w:t>|   |-- login/</w:t>
            </w:r>
            <w:r>
              <w:rPr>
                <w:rFonts w:ascii="Courier New" w:eastAsia="Courier New" w:hAnsi="Courier New"/>
                <w:color w:val="373737"/>
                <w:sz w:val="17"/>
              </w:rPr>
              <w:br/>
              <w:t>|   |-- menu/</w:t>
            </w:r>
            <w:r>
              <w:rPr>
                <w:rFonts w:ascii="Courier New" w:eastAsia="Courier New" w:hAnsi="Courier New"/>
                <w:color w:val="373737"/>
                <w:sz w:val="17"/>
              </w:rPr>
              <w:br/>
              <w:t>|   |-- &lt;fachmodule&gt;/</w:t>
            </w:r>
            <w:r>
              <w:rPr>
                <w:rFonts w:ascii="Courier New" w:eastAsia="Courier New" w:hAnsi="Courier New"/>
                <w:color w:val="373737"/>
                <w:sz w:val="17"/>
              </w:rPr>
              <w:br/>
              <w:t>|       |-- &lt;anwendung&gt;_grid.cfg</w:t>
            </w:r>
            <w:r>
              <w:rPr>
                <w:rFonts w:ascii="Courier New" w:eastAsia="Courier New" w:hAnsi="Courier New"/>
                <w:color w:val="373737"/>
                <w:sz w:val="17"/>
              </w:rPr>
              <w:br/>
              <w:t>|       |-- &lt;anwendung&gt;_grid_function.php</w:t>
            </w:r>
            <w:r>
              <w:rPr>
                <w:rFonts w:ascii="Courier New" w:eastAsia="Courier New" w:hAnsi="Courier New"/>
                <w:color w:val="373737"/>
                <w:sz w:val="17"/>
              </w:rPr>
              <w:br/>
              <w:t>|       |-- &lt;anwendung&gt;_form.php</w:t>
            </w:r>
            <w:r>
              <w:rPr>
                <w:rFonts w:ascii="Courier New" w:eastAsia="Courier New" w:hAnsi="Courier New"/>
                <w:color w:val="373737"/>
                <w:sz w:val="17"/>
              </w:rPr>
              <w:br/>
              <w:t>|       |-- &lt;anwendung&gt;_function.php</w:t>
            </w:r>
          </w:p>
        </w:tc>
      </w:tr>
    </w:tbl>
    <w:p w:rsidR="00B544D6" w:rsidRDefault="00B544D6"/>
    <w:tbl>
      <w:tblPr>
        <w:tblStyle w:val="Tabellenraster"/>
        <w:tblW w:w="0" w:type="auto"/>
        <w:jc w:val="center"/>
        <w:tblLook w:val="04A0" w:firstRow="1" w:lastRow="0" w:firstColumn="1" w:lastColumn="0" w:noHBand="0" w:noVBand="1"/>
      </w:tblPr>
      <w:tblGrid>
        <w:gridCol w:w="4371"/>
        <w:gridCol w:w="5821"/>
      </w:tblGrid>
      <w:tr w:rsidR="00B544D6">
        <w:trPr>
          <w:tblHeader/>
          <w:jc w:val="center"/>
        </w:trPr>
        <w:tc>
          <w:tcPr>
            <w:tcW w:w="4986" w:type="dxa"/>
            <w:shd w:val="clear" w:color="auto" w:fill="0E5C80"/>
            <w:tcMar>
              <w:top w:w="80" w:type="dxa"/>
              <w:left w:w="110" w:type="dxa"/>
              <w:bottom w:w="80" w:type="dxa"/>
              <w:right w:w="110" w:type="dxa"/>
            </w:tcMar>
            <w:vAlign w:val="center"/>
          </w:tcPr>
          <w:p w:rsidR="00B544D6" w:rsidRDefault="000F6872">
            <w:pPr>
              <w:jc w:val="center"/>
            </w:pPr>
            <w:r>
              <w:rPr>
                <w:rFonts w:eastAsia="Calibri"/>
                <w:b/>
                <w:color w:val="FFFFFF"/>
                <w:sz w:val="20"/>
              </w:rPr>
              <w:t>Verzeichnis</w:t>
            </w:r>
          </w:p>
        </w:tc>
        <w:tc>
          <w:tcPr>
            <w:tcW w:w="4986" w:type="dxa"/>
            <w:shd w:val="clear" w:color="auto" w:fill="0E5C80"/>
            <w:tcMar>
              <w:top w:w="80" w:type="dxa"/>
              <w:left w:w="110" w:type="dxa"/>
              <w:bottom w:w="80" w:type="dxa"/>
              <w:right w:w="110" w:type="dxa"/>
            </w:tcMar>
            <w:vAlign w:val="center"/>
          </w:tcPr>
          <w:p w:rsidR="00B544D6" w:rsidRDefault="000F6872">
            <w:pPr>
              <w:jc w:val="center"/>
            </w:pPr>
            <w:r>
              <w:rPr>
                <w:rFonts w:eastAsia="Calibri"/>
                <w:b/>
                <w:color w:val="FFFFFF"/>
                <w:sz w:val="20"/>
              </w:rPr>
              <w:t>Rolle</w:t>
            </w:r>
          </w:p>
        </w:tc>
      </w:tr>
      <w:tr w:rsidR="00B544D6">
        <w:trPr>
          <w:jc w:val="center"/>
        </w:trPr>
        <w:tc>
          <w:tcPr>
            <w:tcW w:w="2438"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_pgm</w:t>
            </w:r>
          </w:p>
        </w:tc>
        <w:tc>
          <w:tcPr>
            <w:tcW w:w="6633"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Framework-Kern, laut Beschreibung alleiniger Fokus von Updates.</w:t>
            </w:r>
          </w:p>
        </w:tc>
      </w:tr>
      <w:tr w:rsidR="00B544D6">
        <w:trPr>
          <w:jc w:val="center"/>
        </w:trPr>
        <w:tc>
          <w:tcPr>
            <w:tcW w:w="2438"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_deepl_cache</w:t>
            </w:r>
          </w:p>
        </w:tc>
        <w:tc>
          <w:tcPr>
            <w:tcW w:w="6633"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Dateibasierte Wiederverwendung bereits uebersetzter Texte.</w:t>
            </w:r>
          </w:p>
        </w:tc>
      </w:tr>
      <w:tr w:rsidR="00B544D6">
        <w:trPr>
          <w:jc w:val="center"/>
        </w:trPr>
        <w:tc>
          <w:tcPr>
            <w:tcW w:w="2438"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_file_store</w:t>
            </w:r>
          </w:p>
        </w:tc>
        <w:tc>
          <w:tcPr>
            <w:tcW w:w="6633"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Ablage fuer Dokumente und Upload-Dateien in fachlichen Unterordnern.</w:t>
            </w:r>
          </w:p>
        </w:tc>
      </w:tr>
      <w:tr w:rsidR="00B544D6">
        <w:trPr>
          <w:jc w:val="center"/>
        </w:trPr>
        <w:tc>
          <w:tcPr>
            <w:tcW w:w="2438"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_lib</w:t>
            </w:r>
          </w:p>
        </w:tc>
        <w:tc>
          <w:tcPr>
            <w:tcW w:w="6633"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Projektbezogene PHP-Bibliotheken.</w:t>
            </w:r>
          </w:p>
        </w:tc>
      </w:tr>
      <w:tr w:rsidR="00B544D6">
        <w:trPr>
          <w:jc w:val="center"/>
        </w:trPr>
        <w:tc>
          <w:tcPr>
            <w:tcW w:w="2438"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login und menu</w:t>
            </w:r>
          </w:p>
        </w:tc>
        <w:tc>
          <w:tcPr>
            <w:tcW w:w="6633"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Projektbezogene Einstiegspunkte und Menuestruktur.</w:t>
            </w:r>
          </w:p>
        </w:tc>
      </w:tr>
    </w:tbl>
    <w:p w:rsidR="00B544D6" w:rsidRDefault="00B544D6"/>
    <w:tbl>
      <w:tblPr>
        <w:tblW w:w="0" w:type="auto"/>
        <w:jc w:val="center"/>
        <w:tblLook w:val="04A0" w:firstRow="1" w:lastRow="0" w:firstColumn="1" w:lastColumn="0" w:noHBand="0" w:noVBand="1"/>
      </w:tblPr>
      <w:tblGrid>
        <w:gridCol w:w="9972"/>
      </w:tblGrid>
      <w:tr w:rsidR="00B544D6">
        <w:trPr>
          <w:jc w:val="center"/>
        </w:trPr>
        <w:tc>
          <w:tcPr>
            <w:tcW w:w="9972" w:type="dxa"/>
            <w:tcBorders>
              <w:top w:val="single" w:sz="12" w:space="0" w:color="5B9BD5"/>
              <w:left w:val="single" w:sz="12" w:space="0" w:color="5B9BD5"/>
              <w:bottom w:val="single" w:sz="12" w:space="0" w:color="5B9BD5"/>
              <w:right w:val="single" w:sz="12" w:space="0" w:color="5B9BD5"/>
            </w:tcBorders>
            <w:shd w:val="clear" w:color="auto" w:fill="EDF4FD"/>
            <w:tcMar>
              <w:top w:w="110" w:type="dxa"/>
              <w:left w:w="120" w:type="dxa"/>
              <w:bottom w:w="110" w:type="dxa"/>
              <w:right w:w="120" w:type="dxa"/>
            </w:tcMar>
          </w:tcPr>
          <w:p w:rsidR="00B544D6" w:rsidRDefault="000F6872">
            <w:pPr>
              <w:spacing w:after="0" w:line="269" w:lineRule="auto"/>
            </w:pPr>
            <w:r>
              <w:rPr>
                <w:rFonts w:eastAsia="Calibri"/>
                <w:b/>
                <w:color w:val="16406F"/>
              </w:rPr>
              <w:t xml:space="preserve">Implikation fuer Deployments: </w:t>
            </w:r>
            <w:r>
              <w:rPr>
                <w:rFonts w:eastAsia="Calibri"/>
                <w:sz w:val="20"/>
              </w:rPr>
              <w:t>Der dokumentierte Update-Pfad ist einfach: Kern sichern, Kern austauschen, Projekt unangetastet lassen. Genau diese Trennung sollte im Projektalltag nicht verwischt werden.</w:t>
            </w:r>
          </w:p>
        </w:tc>
      </w:tr>
    </w:tbl>
    <w:p w:rsidR="00B544D6" w:rsidRDefault="00B544D6"/>
    <w:p w:rsidR="00B544D6" w:rsidRDefault="000F6872">
      <w:pPr>
        <w:pStyle w:val="berschrift1"/>
        <w:spacing w:before="120" w:after="60" w:line="252" w:lineRule="auto"/>
      </w:pPr>
      <w:r>
        <w:rPr>
          <w:rFonts w:ascii="Calibri" w:eastAsia="Calibri" w:hAnsi="Calibri"/>
        </w:rPr>
        <w:t>3. Grid-Konfiguration im Detail</w:t>
      </w:r>
    </w:p>
    <w:p w:rsidR="00B544D6" w:rsidRDefault="000F6872">
      <w:pPr>
        <w:spacing w:after="100" w:line="283" w:lineRule="auto"/>
        <w:jc w:val="both"/>
      </w:pPr>
      <w:r>
        <w:rPr>
          <w:rFonts w:eastAsia="Calibri"/>
        </w:rPr>
        <w:t>Die Grid-Beispieldatei zeigt ein klar strukturiertes Konfigurationsmuster: SQL-Quelle, allgemeine Laufzeitparameter, Spaltendefinitionen, Filter fuer die Advanced Search sowie Berechtigungen fuer Exporte.</w:t>
      </w:r>
    </w:p>
    <w:p w:rsidR="00B544D6" w:rsidRDefault="000F6872">
      <w:pPr>
        <w:keepNext/>
        <w:spacing w:before="20" w:after="40" w:line="240" w:lineRule="auto"/>
      </w:pPr>
      <w:r>
        <w:rPr>
          <w:rFonts w:eastAsia="Calibri"/>
          <w:b/>
          <w:color w:val="16406F"/>
          <w:sz w:val="20"/>
        </w:rPr>
        <w:t>Beispielhafter Grid-Rahmen</w:t>
      </w:r>
    </w:p>
    <w:tbl>
      <w:tblPr>
        <w:tblW w:w="0" w:type="auto"/>
        <w:jc w:val="center"/>
        <w:tblLook w:val="04A0" w:firstRow="1" w:lastRow="0" w:firstColumn="1" w:lastColumn="0" w:noHBand="0" w:noVBand="1"/>
      </w:tblPr>
      <w:tblGrid>
        <w:gridCol w:w="9972"/>
      </w:tblGrid>
      <w:tr w:rsidR="00B544D6">
        <w:trPr>
          <w:jc w:val="center"/>
        </w:trPr>
        <w:tc>
          <w:tcPr>
            <w:tcW w:w="9972" w:type="dxa"/>
            <w:tcBorders>
              <w:top w:val="single" w:sz="6" w:space="0" w:color="C9D3DE"/>
              <w:left w:val="single" w:sz="6" w:space="0" w:color="C9D3DE"/>
              <w:bottom w:val="single" w:sz="6" w:space="0" w:color="C9D3DE"/>
              <w:right w:val="single" w:sz="6" w:space="0" w:color="C9D3DE"/>
            </w:tcBorders>
            <w:shd w:val="clear" w:color="auto" w:fill="F5F7FA"/>
            <w:tcMar>
              <w:top w:w="90" w:type="dxa"/>
              <w:left w:w="120" w:type="dxa"/>
              <w:bottom w:w="90" w:type="dxa"/>
              <w:right w:w="120" w:type="dxa"/>
            </w:tcMar>
          </w:tcPr>
          <w:p w:rsidR="00B544D6" w:rsidRDefault="000F6872">
            <w:pPr>
              <w:spacing w:after="0" w:line="245" w:lineRule="auto"/>
            </w:pPr>
            <w:r>
              <w:rPr>
                <w:rFonts w:ascii="Courier New" w:eastAsia="Courier New" w:hAnsi="Courier New"/>
                <w:color w:val="373737"/>
                <w:sz w:val="17"/>
              </w:rPr>
              <w:t>&lt;?php</w:t>
            </w:r>
            <w:r>
              <w:rPr>
                <w:rFonts w:ascii="Courier New" w:eastAsia="Courier New" w:hAnsi="Courier New"/>
                <w:color w:val="373737"/>
                <w:sz w:val="17"/>
              </w:rPr>
              <w:br/>
            </w:r>
            <w:r>
              <w:rPr>
                <w:rFonts w:ascii="Courier New" w:eastAsia="Courier New" w:hAnsi="Courier New"/>
                <w:color w:val="373737"/>
                <w:sz w:val="17"/>
              </w:rPr>
              <w:br/>
              <w:t>return [</w:t>
            </w:r>
            <w:r>
              <w:rPr>
                <w:rFonts w:ascii="Courier New" w:eastAsia="Courier New" w:hAnsi="Courier New"/>
                <w:color w:val="373737"/>
                <w:sz w:val="17"/>
              </w:rPr>
              <w:br/>
              <w:t xml:space="preserve">    'sql' =&gt; &lt;&lt;&lt;SQL</w:t>
            </w:r>
            <w:r>
              <w:rPr>
                <w:rFonts w:ascii="Courier New" w:eastAsia="Courier New" w:hAnsi="Courier New"/>
                <w:color w:val="373737"/>
                <w:sz w:val="17"/>
              </w:rPr>
              <w:br/>
              <w:t>SELECT</w:t>
            </w:r>
            <w:r>
              <w:rPr>
                <w:rFonts w:ascii="Courier New" w:eastAsia="Courier New" w:hAnsi="Courier New"/>
                <w:color w:val="373737"/>
                <w:sz w:val="17"/>
              </w:rPr>
              <w:br/>
            </w:r>
            <w:r>
              <w:rPr>
                <w:rFonts w:ascii="Courier New" w:eastAsia="Courier New" w:hAnsi="Courier New"/>
                <w:color w:val="373737"/>
                <w:sz w:val="17"/>
              </w:rPr>
              <w:lastRenderedPageBreak/>
              <w:t xml:space="preserve">    `user_id`,</w:t>
            </w:r>
            <w:r>
              <w:rPr>
                <w:rFonts w:ascii="Courier New" w:eastAsia="Courier New" w:hAnsi="Courier New"/>
                <w:color w:val="373737"/>
                <w:sz w:val="17"/>
              </w:rPr>
              <w:br/>
              <w:t xml:space="preserve">    `email`,</w:t>
            </w:r>
            <w:r>
              <w:rPr>
                <w:rFonts w:ascii="Courier New" w:eastAsia="Courier New" w:hAnsi="Courier New"/>
                <w:color w:val="373737"/>
                <w:sz w:val="17"/>
              </w:rPr>
              <w:br/>
              <w:t xml:space="preserve">    `surname`,</w:t>
            </w:r>
            <w:r>
              <w:rPr>
                <w:rFonts w:ascii="Courier New" w:eastAsia="Courier New" w:hAnsi="Courier New"/>
                <w:color w:val="373737"/>
                <w:sz w:val="17"/>
              </w:rPr>
              <w:br/>
              <w:t xml:space="preserve">    `prename`,</w:t>
            </w:r>
            <w:r>
              <w:rPr>
                <w:rFonts w:ascii="Courier New" w:eastAsia="Courier New" w:hAnsi="Courier New"/>
                <w:color w:val="373737"/>
                <w:sz w:val="17"/>
              </w:rPr>
              <w:br/>
              <w:t xml:space="preserve">    `city`,</w:t>
            </w:r>
            <w:r>
              <w:rPr>
                <w:rFonts w:ascii="Courier New" w:eastAsia="Courier New" w:hAnsi="Courier New"/>
                <w:color w:val="373737"/>
                <w:sz w:val="17"/>
              </w:rPr>
              <w:br/>
              <w:t xml:space="preserve">    `birthday`,</w:t>
            </w:r>
            <w:r>
              <w:rPr>
                <w:rFonts w:ascii="Courier New" w:eastAsia="Courier New" w:hAnsi="Courier New"/>
                <w:color w:val="373737"/>
                <w:sz w:val="17"/>
              </w:rPr>
              <w:br/>
              <w:t xml:space="preserve">    `contract_file`,</w:t>
            </w:r>
            <w:r>
              <w:rPr>
                <w:rFonts w:ascii="Courier New" w:eastAsia="Courier New" w:hAnsi="Courier New"/>
                <w:color w:val="373737"/>
                <w:sz w:val="17"/>
              </w:rPr>
              <w:br/>
              <w:t xml:space="preserve">    `record_created`</w:t>
            </w:r>
            <w:r>
              <w:rPr>
                <w:rFonts w:ascii="Courier New" w:eastAsia="Courier New" w:hAnsi="Courier New"/>
                <w:color w:val="373737"/>
                <w:sz w:val="17"/>
              </w:rPr>
              <w:br/>
              <w:t>FROM `iss_user`</w:t>
            </w:r>
            <w:r>
              <w:rPr>
                <w:rFonts w:ascii="Courier New" w:eastAsia="Courier New" w:hAnsi="Courier New"/>
                <w:color w:val="373737"/>
                <w:sz w:val="17"/>
              </w:rPr>
              <w:br/>
              <w:t>SQL,</w:t>
            </w:r>
            <w:r>
              <w:rPr>
                <w:rFonts w:ascii="Courier New" w:eastAsia="Courier New" w:hAnsi="Courier New"/>
                <w:color w:val="373737"/>
                <w:sz w:val="17"/>
              </w:rPr>
              <w:br/>
            </w:r>
            <w:r>
              <w:rPr>
                <w:rFonts w:ascii="Courier New" w:eastAsia="Courier New" w:hAnsi="Courier New"/>
                <w:color w:val="373737"/>
                <w:sz w:val="17"/>
              </w:rPr>
              <w:br/>
              <w:t xml:space="preserve">    'width'           =&gt; '70%',</w:t>
            </w:r>
            <w:r>
              <w:rPr>
                <w:rFonts w:ascii="Courier New" w:eastAsia="Courier New" w:hAnsi="Courier New"/>
                <w:color w:val="373737"/>
                <w:sz w:val="17"/>
              </w:rPr>
              <w:br/>
              <w:t xml:space="preserve">    'title'           =&gt; 'User',</w:t>
            </w:r>
            <w:r>
              <w:rPr>
                <w:rFonts w:ascii="Courier New" w:eastAsia="Courier New" w:hAnsi="Courier New"/>
                <w:color w:val="373737"/>
                <w:sz w:val="17"/>
              </w:rPr>
              <w:br/>
              <w:t xml:space="preserve">    'table'           =&gt; 'iss_user',</w:t>
            </w:r>
            <w:r>
              <w:rPr>
                <w:rFonts w:ascii="Courier New" w:eastAsia="Courier New" w:hAnsi="Courier New"/>
                <w:color w:val="373737"/>
                <w:sz w:val="17"/>
              </w:rPr>
              <w:br/>
              <w:t xml:space="preserve">    'db_typ'          =&gt; 'mysql',</w:t>
            </w:r>
            <w:r>
              <w:rPr>
                <w:rFonts w:ascii="Courier New" w:eastAsia="Courier New" w:hAnsi="Courier New"/>
                <w:color w:val="373737"/>
                <w:sz w:val="17"/>
              </w:rPr>
              <w:br/>
              <w:t xml:space="preserve">    'advanced_search' =&gt; true,</w:t>
            </w:r>
            <w:r>
              <w:rPr>
                <w:rFonts w:ascii="Courier New" w:eastAsia="Courier New" w:hAnsi="Courier New"/>
                <w:color w:val="373737"/>
                <w:sz w:val="17"/>
              </w:rPr>
              <w:br/>
              <w:t xml:space="preserve">    'marker'          =&gt; true,</w:t>
            </w:r>
            <w:r>
              <w:rPr>
                <w:rFonts w:ascii="Courier New" w:eastAsia="Courier New" w:hAnsi="Courier New"/>
                <w:color w:val="373737"/>
                <w:sz w:val="17"/>
              </w:rPr>
              <w:br/>
              <w:t xml:space="preserve">    'show_new_button' =&gt; true,</w:t>
            </w:r>
            <w:r>
              <w:rPr>
                <w:rFonts w:ascii="Courier New" w:eastAsia="Courier New" w:hAnsi="Courier New"/>
                <w:color w:val="373737"/>
                <w:sz w:val="17"/>
              </w:rPr>
              <w:br/>
              <w:t xml:space="preserve">    'primary_key'     =&gt; 'user_id',</w:t>
            </w:r>
            <w:r>
              <w:rPr>
                <w:rFonts w:ascii="Courier New" w:eastAsia="Courier New" w:hAnsi="Courier New"/>
                <w:color w:val="373737"/>
                <w:sz w:val="17"/>
              </w:rPr>
              <w:br/>
              <w:t xml:space="preserve">    'debug'           =&gt; false,</w:t>
            </w:r>
            <w:r>
              <w:rPr>
                <w:rFonts w:ascii="Courier New" w:eastAsia="Courier New" w:hAnsi="Courier New"/>
                <w:color w:val="373737"/>
                <w:sz w:val="17"/>
              </w:rPr>
              <w:br/>
              <w:t xml:space="preserve">    'sql_where'       =&gt; '',</w:t>
            </w:r>
            <w:r>
              <w:rPr>
                <w:rFonts w:ascii="Courier New" w:eastAsia="Courier New" w:hAnsi="Courier New"/>
                <w:color w:val="373737"/>
                <w:sz w:val="17"/>
              </w:rPr>
              <w:br/>
              <w:t>];</w:t>
            </w:r>
          </w:p>
        </w:tc>
      </w:tr>
    </w:tbl>
    <w:p w:rsidR="00B544D6" w:rsidRDefault="00B544D6"/>
    <w:tbl>
      <w:tblPr>
        <w:tblStyle w:val="Tabellenraster"/>
        <w:tblW w:w="0" w:type="auto"/>
        <w:jc w:val="center"/>
        <w:tblLook w:val="04A0" w:firstRow="1" w:lastRow="0" w:firstColumn="1" w:lastColumn="0" w:noHBand="0" w:noVBand="1"/>
      </w:tblPr>
      <w:tblGrid>
        <w:gridCol w:w="4550"/>
        <w:gridCol w:w="5642"/>
      </w:tblGrid>
      <w:tr w:rsidR="00B544D6">
        <w:trPr>
          <w:tblHeader/>
          <w:jc w:val="center"/>
        </w:trPr>
        <w:tc>
          <w:tcPr>
            <w:tcW w:w="4986" w:type="dxa"/>
            <w:shd w:val="clear" w:color="auto" w:fill="1F4E79"/>
            <w:tcMar>
              <w:top w:w="80" w:type="dxa"/>
              <w:left w:w="110" w:type="dxa"/>
              <w:bottom w:w="80" w:type="dxa"/>
              <w:right w:w="110" w:type="dxa"/>
            </w:tcMar>
            <w:vAlign w:val="center"/>
          </w:tcPr>
          <w:p w:rsidR="00B544D6" w:rsidRDefault="000F6872">
            <w:pPr>
              <w:jc w:val="center"/>
            </w:pPr>
            <w:r>
              <w:rPr>
                <w:rFonts w:eastAsia="Calibri"/>
                <w:b/>
                <w:color w:val="FFFFFF"/>
                <w:sz w:val="20"/>
              </w:rPr>
              <w:t>Konfigurationsbereich</w:t>
            </w:r>
          </w:p>
        </w:tc>
        <w:tc>
          <w:tcPr>
            <w:tcW w:w="4986" w:type="dxa"/>
            <w:shd w:val="clear" w:color="auto" w:fill="1F4E79"/>
            <w:tcMar>
              <w:top w:w="80" w:type="dxa"/>
              <w:left w:w="110" w:type="dxa"/>
              <w:bottom w:w="80" w:type="dxa"/>
              <w:right w:w="110" w:type="dxa"/>
            </w:tcMar>
            <w:vAlign w:val="center"/>
          </w:tcPr>
          <w:p w:rsidR="00B544D6" w:rsidRDefault="000F6872">
            <w:pPr>
              <w:jc w:val="center"/>
            </w:pPr>
            <w:r>
              <w:rPr>
                <w:rFonts w:eastAsia="Calibri"/>
                <w:b/>
                <w:color w:val="FFFFFF"/>
                <w:sz w:val="20"/>
              </w:rPr>
              <w:t>Beobachtung fuer Entwickler</w:t>
            </w:r>
          </w:p>
        </w:tc>
      </w:tr>
      <w:tr w:rsidR="00B544D6">
        <w:trPr>
          <w:jc w:val="center"/>
        </w:trPr>
        <w:tc>
          <w:tcPr>
            <w:tcW w:w="2721"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SQL</w:t>
            </w:r>
          </w:p>
        </w:tc>
        <w:tc>
          <w:tcPr>
            <w:tcW w:w="6350"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Die Datenquelle wird direkt in der Konfiguration angegeben; damit ist das Grid stark datengetrieben.</w:t>
            </w:r>
          </w:p>
        </w:tc>
      </w:tr>
      <w:tr w:rsidR="00B544D6">
        <w:trPr>
          <w:jc w:val="center"/>
        </w:trPr>
        <w:tc>
          <w:tcPr>
            <w:tcW w:w="2721"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Basisparameter</w:t>
            </w:r>
          </w:p>
        </w:tc>
        <w:tc>
          <w:tcPr>
            <w:tcW w:w="6350"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Breite, Titel, Datenbanktyp, Marker, Debug und Primary Key sind als Standardattribute angelegt.</w:t>
            </w:r>
          </w:p>
        </w:tc>
      </w:tr>
      <w:tr w:rsidR="00B544D6">
        <w:trPr>
          <w:jc w:val="center"/>
        </w:trPr>
        <w:tc>
          <w:tcPr>
            <w:tcW w:w="2721"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Spalten</w:t>
            </w:r>
          </w:p>
        </w:tc>
        <w:tc>
          <w:tcPr>
            <w:tcW w:w="6350"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Pro Spalte lassen sich Typ, Label, Quicksearch und Sortierbarkeit definieren.</w:t>
            </w:r>
          </w:p>
        </w:tc>
      </w:tr>
      <w:tr w:rsidR="00B544D6">
        <w:trPr>
          <w:jc w:val="center"/>
        </w:trPr>
        <w:tc>
          <w:tcPr>
            <w:tcW w:w="2721"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Filter</w:t>
            </w:r>
          </w:p>
        </w:tc>
        <w:tc>
          <w:tcPr>
            <w:tcW w:w="6350"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Advanced Search ist als separater Block mit Headern und Operatorlisten modelliert.</w:t>
            </w:r>
          </w:p>
        </w:tc>
      </w:tr>
      <w:tr w:rsidR="00B544D6">
        <w:trPr>
          <w:jc w:val="center"/>
        </w:trPr>
        <w:tc>
          <w:tcPr>
            <w:tcW w:w="2721"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Permission</w:t>
            </w:r>
          </w:p>
        </w:tc>
        <w:tc>
          <w:tcPr>
            <w:tcW w:w="6350"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Exportoptionen werden ueber einen eigenen Rechteblock beschrieben.</w:t>
            </w:r>
          </w:p>
        </w:tc>
      </w:tr>
    </w:tbl>
    <w:p w:rsidR="00B544D6" w:rsidRDefault="00B544D6"/>
    <w:p w:rsidR="00B544D6" w:rsidRDefault="000F6872">
      <w:pPr>
        <w:keepNext/>
        <w:spacing w:before="20" w:after="40" w:line="240" w:lineRule="auto"/>
      </w:pPr>
      <w:r>
        <w:rPr>
          <w:rFonts w:eastAsia="Calibri"/>
          <w:b/>
          <w:color w:val="16406F"/>
          <w:sz w:val="20"/>
        </w:rPr>
        <w:t>Spalten- und Filterbeispiel</w:t>
      </w:r>
    </w:p>
    <w:tbl>
      <w:tblPr>
        <w:tblW w:w="0" w:type="auto"/>
        <w:jc w:val="center"/>
        <w:tblLook w:val="04A0" w:firstRow="1" w:lastRow="0" w:firstColumn="1" w:lastColumn="0" w:noHBand="0" w:noVBand="1"/>
      </w:tblPr>
      <w:tblGrid>
        <w:gridCol w:w="9972"/>
      </w:tblGrid>
      <w:tr w:rsidR="00B544D6">
        <w:trPr>
          <w:jc w:val="center"/>
        </w:trPr>
        <w:tc>
          <w:tcPr>
            <w:tcW w:w="9972" w:type="dxa"/>
            <w:tcBorders>
              <w:top w:val="single" w:sz="6" w:space="0" w:color="C9D3DE"/>
              <w:left w:val="single" w:sz="6" w:space="0" w:color="C9D3DE"/>
              <w:bottom w:val="single" w:sz="6" w:space="0" w:color="C9D3DE"/>
              <w:right w:val="single" w:sz="6" w:space="0" w:color="C9D3DE"/>
            </w:tcBorders>
            <w:shd w:val="clear" w:color="auto" w:fill="F5F7FA"/>
            <w:tcMar>
              <w:top w:w="90" w:type="dxa"/>
              <w:left w:w="120" w:type="dxa"/>
              <w:bottom w:w="90" w:type="dxa"/>
              <w:right w:w="120" w:type="dxa"/>
            </w:tcMar>
          </w:tcPr>
          <w:p w:rsidR="00B544D6" w:rsidRDefault="000F6872">
            <w:pPr>
              <w:spacing w:after="0" w:line="245" w:lineRule="auto"/>
            </w:pPr>
            <w:r>
              <w:rPr>
                <w:rFonts w:ascii="Courier New" w:eastAsia="Courier New" w:hAnsi="Courier New"/>
                <w:color w:val="373737"/>
                <w:sz w:val="16"/>
              </w:rPr>
              <w:t>'columns' =&gt; [</w:t>
            </w:r>
            <w:r>
              <w:rPr>
                <w:rFonts w:ascii="Courier New" w:eastAsia="Courier New" w:hAnsi="Courier New"/>
                <w:color w:val="373737"/>
                <w:sz w:val="16"/>
              </w:rPr>
              <w:br/>
              <w:t xml:space="preserve">    'surname' =&gt; [</w:t>
            </w:r>
            <w:r>
              <w:rPr>
                <w:rFonts w:ascii="Courier New" w:eastAsia="Courier New" w:hAnsi="Courier New"/>
                <w:color w:val="373737"/>
                <w:sz w:val="16"/>
              </w:rPr>
              <w:br/>
              <w:t xml:space="preserve">        'label'       =&gt; 'surname',</w:t>
            </w:r>
            <w:r>
              <w:rPr>
                <w:rFonts w:ascii="Courier New" w:eastAsia="Courier New" w:hAnsi="Courier New"/>
                <w:color w:val="373737"/>
                <w:sz w:val="16"/>
              </w:rPr>
              <w:br/>
              <w:t xml:space="preserve">        'type'        =&gt; 'text',</w:t>
            </w:r>
            <w:r>
              <w:rPr>
                <w:rFonts w:ascii="Courier New" w:eastAsia="Courier New" w:hAnsi="Courier New"/>
                <w:color w:val="373737"/>
                <w:sz w:val="16"/>
              </w:rPr>
              <w:br/>
              <w:t xml:space="preserve">        'quicksearch' =&gt; true,</w:t>
            </w:r>
            <w:r>
              <w:rPr>
                <w:rFonts w:ascii="Courier New" w:eastAsia="Courier New" w:hAnsi="Courier New"/>
                <w:color w:val="373737"/>
                <w:sz w:val="16"/>
              </w:rPr>
              <w:br/>
              <w:t xml:space="preserve">        'sort'        =&gt; true,</w:t>
            </w:r>
            <w:r>
              <w:rPr>
                <w:rFonts w:ascii="Courier New" w:eastAsia="Courier New" w:hAnsi="Courier New"/>
                <w:color w:val="373737"/>
                <w:sz w:val="16"/>
              </w:rPr>
              <w:br/>
              <w:t xml:space="preserve">    ],</w:t>
            </w:r>
            <w:r>
              <w:rPr>
                <w:rFonts w:ascii="Courier New" w:eastAsia="Courier New" w:hAnsi="Courier New"/>
                <w:color w:val="373737"/>
                <w:sz w:val="16"/>
              </w:rPr>
              <w:br/>
              <w:t xml:space="preserve">    'record_created' =&gt; [</w:t>
            </w:r>
            <w:r>
              <w:rPr>
                <w:rFonts w:ascii="Courier New" w:eastAsia="Courier New" w:hAnsi="Courier New"/>
                <w:color w:val="373737"/>
                <w:sz w:val="16"/>
              </w:rPr>
              <w:br/>
              <w:t xml:space="preserve">        'label'         =&gt; 'Datensatz erstellt',</w:t>
            </w:r>
            <w:r>
              <w:rPr>
                <w:rFonts w:ascii="Courier New" w:eastAsia="Courier New" w:hAnsi="Courier New"/>
                <w:color w:val="373737"/>
                <w:sz w:val="16"/>
              </w:rPr>
              <w:br/>
              <w:t xml:space="preserve">        'type'          =&gt; 'datetime',</w:t>
            </w:r>
            <w:r>
              <w:rPr>
                <w:rFonts w:ascii="Courier New" w:eastAsia="Courier New" w:hAnsi="Courier New"/>
                <w:color w:val="373737"/>
                <w:sz w:val="16"/>
              </w:rPr>
              <w:br/>
              <w:t xml:space="preserve">        'input_length'  =&gt; 20,</w:t>
            </w:r>
            <w:r>
              <w:rPr>
                <w:rFonts w:ascii="Courier New" w:eastAsia="Courier New" w:hAnsi="Courier New"/>
                <w:color w:val="373737"/>
                <w:sz w:val="16"/>
              </w:rPr>
              <w:br/>
              <w:t xml:space="preserve">        'show_calender' =&gt; true,</w:t>
            </w:r>
            <w:r>
              <w:rPr>
                <w:rFonts w:ascii="Courier New" w:eastAsia="Courier New" w:hAnsi="Courier New"/>
                <w:color w:val="373737"/>
                <w:sz w:val="16"/>
              </w:rPr>
              <w:br/>
              <w:t xml:space="preserve">    ],</w:t>
            </w:r>
            <w:r>
              <w:rPr>
                <w:rFonts w:ascii="Courier New" w:eastAsia="Courier New" w:hAnsi="Courier New"/>
                <w:color w:val="373737"/>
                <w:sz w:val="16"/>
              </w:rPr>
              <w:br/>
              <w:t xml:space="preserve">    'contract_file' =&gt; [</w:t>
            </w:r>
            <w:r>
              <w:rPr>
                <w:rFonts w:ascii="Courier New" w:eastAsia="Courier New" w:hAnsi="Courier New"/>
                <w:color w:val="373737"/>
                <w:sz w:val="16"/>
              </w:rPr>
              <w:br/>
              <w:t xml:space="preserve">        'label'         =&gt; 'Vertragsdokument',</w:t>
            </w:r>
            <w:r>
              <w:rPr>
                <w:rFonts w:ascii="Courier New" w:eastAsia="Courier New" w:hAnsi="Courier New"/>
                <w:color w:val="373737"/>
                <w:sz w:val="16"/>
              </w:rPr>
              <w:br/>
              <w:t xml:space="preserve">        'show'          =&gt; 'icon',</w:t>
            </w:r>
            <w:r>
              <w:rPr>
                <w:rFonts w:ascii="Courier New" w:eastAsia="Courier New" w:hAnsi="Courier New"/>
                <w:color w:val="373737"/>
                <w:sz w:val="16"/>
              </w:rPr>
              <w:br/>
              <w:t xml:space="preserve">        'type'          =&gt; 'file_upload_to_path',</w:t>
            </w:r>
            <w:r>
              <w:rPr>
                <w:rFonts w:ascii="Courier New" w:eastAsia="Courier New" w:hAnsi="Courier New"/>
                <w:color w:val="373737"/>
                <w:sz w:val="16"/>
              </w:rPr>
              <w:br/>
              <w:t xml:space="preserve">        'path_to_store' =&gt; 'contract',</w:t>
            </w:r>
            <w:r>
              <w:rPr>
                <w:rFonts w:ascii="Courier New" w:eastAsia="Courier New" w:hAnsi="Courier New"/>
                <w:color w:val="373737"/>
                <w:sz w:val="16"/>
              </w:rPr>
              <w:br/>
              <w:t xml:space="preserve">    ],</w:t>
            </w:r>
            <w:r>
              <w:rPr>
                <w:rFonts w:ascii="Courier New" w:eastAsia="Courier New" w:hAnsi="Courier New"/>
                <w:color w:val="373737"/>
                <w:sz w:val="16"/>
              </w:rPr>
              <w:br/>
              <w:t>],</w:t>
            </w:r>
            <w:r>
              <w:rPr>
                <w:rFonts w:ascii="Courier New" w:eastAsia="Courier New" w:hAnsi="Courier New"/>
                <w:color w:val="373737"/>
                <w:sz w:val="16"/>
              </w:rPr>
              <w:br/>
            </w:r>
            <w:r>
              <w:rPr>
                <w:rFonts w:ascii="Courier New" w:eastAsia="Courier New" w:hAnsi="Courier New"/>
                <w:color w:val="373737"/>
                <w:sz w:val="16"/>
              </w:rPr>
              <w:br/>
              <w:t>'filters' =&gt; [</w:t>
            </w:r>
            <w:r>
              <w:rPr>
                <w:rFonts w:ascii="Courier New" w:eastAsia="Courier New" w:hAnsi="Courier New"/>
                <w:color w:val="373737"/>
                <w:sz w:val="16"/>
              </w:rPr>
              <w:br/>
            </w:r>
            <w:r>
              <w:rPr>
                <w:rFonts w:ascii="Courier New" w:eastAsia="Courier New" w:hAnsi="Courier New"/>
                <w:color w:val="373737"/>
                <w:sz w:val="16"/>
              </w:rPr>
              <w:lastRenderedPageBreak/>
              <w:t xml:space="preserve">    ['header' =&gt; 'Allgemein'],</w:t>
            </w:r>
            <w:r>
              <w:rPr>
                <w:rFonts w:ascii="Courier New" w:eastAsia="Courier New" w:hAnsi="Courier New"/>
                <w:color w:val="373737"/>
                <w:sz w:val="16"/>
              </w:rPr>
              <w:br/>
              <w:t xml:space="preserve">    [</w:t>
            </w:r>
            <w:r>
              <w:rPr>
                <w:rFonts w:ascii="Courier New" w:eastAsia="Courier New" w:hAnsi="Courier New"/>
                <w:color w:val="373737"/>
                <w:sz w:val="16"/>
              </w:rPr>
              <w:br/>
              <w:t xml:space="preserve">        'field'     =&gt; 'surname',</w:t>
            </w:r>
            <w:r>
              <w:rPr>
                <w:rFonts w:ascii="Courier New" w:eastAsia="Courier New" w:hAnsi="Courier New"/>
                <w:color w:val="373737"/>
                <w:sz w:val="16"/>
              </w:rPr>
              <w:br/>
              <w:t xml:space="preserve">        'label'     =&gt; 'Name',</w:t>
            </w:r>
            <w:r>
              <w:rPr>
                <w:rFonts w:ascii="Courier New" w:eastAsia="Courier New" w:hAnsi="Courier New"/>
                <w:color w:val="373737"/>
                <w:sz w:val="16"/>
              </w:rPr>
              <w:br/>
              <w:t xml:space="preserve">        'operators' =&gt; ['=', '&lt;&gt;', 'contains', 'empty'],</w:t>
            </w:r>
            <w:r>
              <w:rPr>
                <w:rFonts w:ascii="Courier New" w:eastAsia="Courier New" w:hAnsi="Courier New"/>
                <w:color w:val="373737"/>
                <w:sz w:val="16"/>
              </w:rPr>
              <w:br/>
              <w:t xml:space="preserve">    ],</w:t>
            </w:r>
            <w:r>
              <w:rPr>
                <w:rFonts w:ascii="Courier New" w:eastAsia="Courier New" w:hAnsi="Courier New"/>
                <w:color w:val="373737"/>
                <w:sz w:val="16"/>
              </w:rPr>
              <w:br/>
              <w:t xml:space="preserve">    [</w:t>
            </w:r>
            <w:r>
              <w:rPr>
                <w:rFonts w:ascii="Courier New" w:eastAsia="Courier New" w:hAnsi="Courier New"/>
                <w:color w:val="373737"/>
                <w:sz w:val="16"/>
              </w:rPr>
              <w:br/>
              <w:t xml:space="preserve">        'field'     =&gt; 'city',</w:t>
            </w:r>
            <w:r>
              <w:rPr>
                <w:rFonts w:ascii="Courier New" w:eastAsia="Courier New" w:hAnsi="Courier New"/>
                <w:color w:val="373737"/>
                <w:sz w:val="16"/>
              </w:rPr>
              <w:br/>
              <w:t xml:space="preserve">        'label'     =&gt; 'Ort',</w:t>
            </w:r>
            <w:r>
              <w:rPr>
                <w:rFonts w:ascii="Courier New" w:eastAsia="Courier New" w:hAnsi="Courier New"/>
                <w:color w:val="373737"/>
                <w:sz w:val="16"/>
              </w:rPr>
              <w:br/>
              <w:t xml:space="preserve">        'operators' =&gt; ['=', 'empty'],</w:t>
            </w:r>
            <w:r>
              <w:rPr>
                <w:rFonts w:ascii="Courier New" w:eastAsia="Courier New" w:hAnsi="Courier New"/>
                <w:color w:val="373737"/>
                <w:sz w:val="16"/>
              </w:rPr>
              <w:br/>
              <w:t xml:space="preserve">    ],</w:t>
            </w:r>
            <w:r>
              <w:rPr>
                <w:rFonts w:ascii="Courier New" w:eastAsia="Courier New" w:hAnsi="Courier New"/>
                <w:color w:val="373737"/>
                <w:sz w:val="16"/>
              </w:rPr>
              <w:br/>
              <w:t>],</w:t>
            </w:r>
          </w:p>
        </w:tc>
      </w:tr>
    </w:tbl>
    <w:p w:rsidR="00B544D6" w:rsidRDefault="00B544D6"/>
    <w:p w:rsidR="00B544D6" w:rsidRDefault="000F6872">
      <w:pPr>
        <w:spacing w:after="100" w:line="283" w:lineRule="auto"/>
        <w:jc w:val="both"/>
      </w:pPr>
      <w:r>
        <w:rPr>
          <w:rFonts w:eastAsia="Calibri"/>
        </w:rPr>
        <w:t>Zusaetzlich liefert die Attribut-Unterlage fuer Grids weitere Standardschalter wie limit, show_xls_export, select_xls_fields, show_pdf_export oder eine feste sql_where-Klausel. Das legt nahe, dass MOSAIC fuer Listenansichten ein relativ breites Basisset an Standardfunktionen vorgibt.</w:t>
      </w:r>
    </w:p>
    <w:p w:rsidR="00B544D6" w:rsidRDefault="000F6872">
      <w:pPr>
        <w:pStyle w:val="berschrift1"/>
        <w:spacing w:before="120" w:after="60" w:line="252" w:lineRule="auto"/>
      </w:pPr>
      <w:r>
        <w:rPr>
          <w:rFonts w:ascii="Calibri" w:eastAsia="Calibri" w:hAnsi="Calibri"/>
        </w:rPr>
        <w:t>4. Formularmodell und Tabs</w:t>
      </w:r>
    </w:p>
    <w:p w:rsidR="00B544D6" w:rsidRDefault="000F6872">
      <w:pPr>
        <w:spacing w:after="100" w:line="283" w:lineRule="auto"/>
        <w:jc w:val="both"/>
      </w:pPr>
      <w:r>
        <w:rPr>
          <w:rFonts w:eastAsia="Calibri"/>
        </w:rPr>
        <w:t>Die Form-Unterlage beschreibt ein tab-basiertes Modell. Jeder Tab enthaelt Layoutattribute und einen eigenen Feldblock. Dadurch entstehen sauber gegliederte Eingabemasken, ohne dass fuer jede Gruppe ein eigenes, separat entwickeltes Unterformular noetig ist.</w:t>
      </w:r>
    </w:p>
    <w:p w:rsidR="00B544D6" w:rsidRDefault="000F6872">
      <w:pPr>
        <w:keepNext/>
        <w:spacing w:before="20" w:after="40" w:line="240" w:lineRule="auto"/>
      </w:pPr>
      <w:r>
        <w:rPr>
          <w:rFonts w:eastAsia="Calibri"/>
          <w:b/>
          <w:color w:val="16406F"/>
          <w:sz w:val="20"/>
        </w:rPr>
        <w:t>Tab-Rahmen aus der Beispielkonfiguration</w:t>
      </w:r>
    </w:p>
    <w:tbl>
      <w:tblPr>
        <w:tblW w:w="0" w:type="auto"/>
        <w:jc w:val="center"/>
        <w:tblLook w:val="04A0" w:firstRow="1" w:lastRow="0" w:firstColumn="1" w:lastColumn="0" w:noHBand="0" w:noVBand="1"/>
      </w:tblPr>
      <w:tblGrid>
        <w:gridCol w:w="9972"/>
      </w:tblGrid>
      <w:tr w:rsidR="00B544D6">
        <w:trPr>
          <w:jc w:val="center"/>
        </w:trPr>
        <w:tc>
          <w:tcPr>
            <w:tcW w:w="9972" w:type="dxa"/>
            <w:tcBorders>
              <w:top w:val="single" w:sz="6" w:space="0" w:color="C9D3DE"/>
              <w:left w:val="single" w:sz="6" w:space="0" w:color="C9D3DE"/>
              <w:bottom w:val="single" w:sz="6" w:space="0" w:color="C9D3DE"/>
              <w:right w:val="single" w:sz="6" w:space="0" w:color="C9D3DE"/>
            </w:tcBorders>
            <w:shd w:val="clear" w:color="auto" w:fill="F5F7FA"/>
            <w:tcMar>
              <w:top w:w="90" w:type="dxa"/>
              <w:left w:w="120" w:type="dxa"/>
              <w:bottom w:w="90" w:type="dxa"/>
              <w:right w:w="120" w:type="dxa"/>
            </w:tcMar>
          </w:tcPr>
          <w:p w:rsidR="00B544D6" w:rsidRDefault="000F6872">
            <w:pPr>
              <w:spacing w:after="0" w:line="245" w:lineRule="auto"/>
            </w:pPr>
            <w:r>
              <w:rPr>
                <w:rFonts w:ascii="Courier New" w:eastAsia="Courier New" w:hAnsi="Courier New"/>
                <w:color w:val="373737"/>
                <w:sz w:val="17"/>
              </w:rPr>
              <w:t>'tabs' =&gt; [</w:t>
            </w:r>
            <w:r>
              <w:rPr>
                <w:rFonts w:ascii="Courier New" w:eastAsia="Courier New" w:hAnsi="Courier New"/>
                <w:color w:val="373737"/>
                <w:sz w:val="17"/>
              </w:rPr>
              <w:br/>
              <w:t xml:space="preserve">    'TAB_1' =&gt; [</w:t>
            </w:r>
            <w:r>
              <w:rPr>
                <w:rFonts w:ascii="Courier New" w:eastAsia="Courier New" w:hAnsi="Courier New"/>
                <w:color w:val="373737"/>
                <w:sz w:val="17"/>
              </w:rPr>
              <w:br/>
              <w:t xml:space="preserve">        'label'         =&gt; 'address',</w:t>
            </w:r>
            <w:r>
              <w:rPr>
                <w:rFonts w:ascii="Courier New" w:eastAsia="Courier New" w:hAnsi="Courier New"/>
                <w:color w:val="373737"/>
                <w:sz w:val="17"/>
              </w:rPr>
              <w:br/>
              <w:t xml:space="preserve">        'title_display' =&gt; true,</w:t>
            </w:r>
            <w:r>
              <w:rPr>
                <w:rFonts w:ascii="Courier New" w:eastAsia="Courier New" w:hAnsi="Courier New"/>
                <w:color w:val="373737"/>
                <w:sz w:val="17"/>
              </w:rPr>
              <w:br/>
              <w:t xml:space="preserve">        'label_display' =&gt; true,</w:t>
            </w:r>
            <w:r>
              <w:rPr>
                <w:rFonts w:ascii="Courier New" w:eastAsia="Courier New" w:hAnsi="Courier New"/>
                <w:color w:val="373737"/>
                <w:sz w:val="17"/>
              </w:rPr>
              <w:br/>
              <w:t xml:space="preserve">        'position'      =&gt; 'beside',</w:t>
            </w:r>
            <w:r>
              <w:rPr>
                <w:rFonts w:ascii="Courier New" w:eastAsia="Courier New" w:hAnsi="Courier New"/>
                <w:color w:val="373737"/>
                <w:sz w:val="17"/>
              </w:rPr>
              <w:br/>
              <w:t xml:space="preserve">        'columns'       =&gt; 1,</w:t>
            </w:r>
            <w:r>
              <w:rPr>
                <w:rFonts w:ascii="Courier New" w:eastAsia="Courier New" w:hAnsi="Courier New"/>
                <w:color w:val="373737"/>
                <w:sz w:val="17"/>
              </w:rPr>
              <w:br/>
              <w:t xml:space="preserve">        'next'          =&gt; 'tabs',</w:t>
            </w:r>
            <w:r>
              <w:rPr>
                <w:rFonts w:ascii="Courier New" w:eastAsia="Courier New" w:hAnsi="Courier New"/>
                <w:color w:val="373737"/>
                <w:sz w:val="17"/>
              </w:rPr>
              <w:br/>
              <w:t xml:space="preserve">        'width'         =&gt; '100%',</w:t>
            </w:r>
            <w:r>
              <w:rPr>
                <w:rFonts w:ascii="Courier New" w:eastAsia="Courier New" w:hAnsi="Courier New"/>
                <w:color w:val="373737"/>
                <w:sz w:val="17"/>
              </w:rPr>
              <w:br/>
              <w:t xml:space="preserve">        'collapse'      =&gt; 'expanded',</w:t>
            </w:r>
            <w:r>
              <w:rPr>
                <w:rFonts w:ascii="Courier New" w:eastAsia="Courier New" w:hAnsi="Courier New"/>
                <w:color w:val="373737"/>
                <w:sz w:val="17"/>
              </w:rPr>
              <w:br/>
              <w:t xml:space="preserve">        'fields' =&gt; [ ... ],</w:t>
            </w:r>
            <w:r>
              <w:rPr>
                <w:rFonts w:ascii="Courier New" w:eastAsia="Courier New" w:hAnsi="Courier New"/>
                <w:color w:val="373737"/>
                <w:sz w:val="17"/>
              </w:rPr>
              <w:br/>
              <w:t xml:space="preserve">    ],</w:t>
            </w:r>
            <w:r>
              <w:rPr>
                <w:rFonts w:ascii="Courier New" w:eastAsia="Courier New" w:hAnsi="Courier New"/>
                <w:color w:val="373737"/>
                <w:sz w:val="17"/>
              </w:rPr>
              <w:br/>
              <w:t xml:space="preserve">    'TAB_2' =&gt; [ ... ],</w:t>
            </w:r>
            <w:r>
              <w:rPr>
                <w:rFonts w:ascii="Courier New" w:eastAsia="Courier New" w:hAnsi="Courier New"/>
                <w:color w:val="373737"/>
                <w:sz w:val="17"/>
              </w:rPr>
              <w:br/>
              <w:t xml:space="preserve">    'TAB_3' =&gt; [ ... ],</w:t>
            </w:r>
            <w:r>
              <w:rPr>
                <w:rFonts w:ascii="Courier New" w:eastAsia="Courier New" w:hAnsi="Courier New"/>
                <w:color w:val="373737"/>
                <w:sz w:val="17"/>
              </w:rPr>
              <w:br/>
              <w:t xml:space="preserve">    'TAB_4' =&gt; [ ... ],</w:t>
            </w:r>
            <w:r>
              <w:rPr>
                <w:rFonts w:ascii="Courier New" w:eastAsia="Courier New" w:hAnsi="Courier New"/>
                <w:color w:val="373737"/>
                <w:sz w:val="17"/>
              </w:rPr>
              <w:br/>
              <w:t>],</w:t>
            </w:r>
          </w:p>
        </w:tc>
      </w:tr>
    </w:tbl>
    <w:p w:rsidR="00B544D6" w:rsidRDefault="00B544D6"/>
    <w:tbl>
      <w:tblPr>
        <w:tblStyle w:val="Tabellenraster"/>
        <w:tblW w:w="0" w:type="auto"/>
        <w:jc w:val="center"/>
        <w:tblLook w:val="04A0" w:firstRow="1" w:lastRow="0" w:firstColumn="1" w:lastColumn="0" w:noHBand="0" w:noVBand="1"/>
      </w:tblPr>
      <w:tblGrid>
        <w:gridCol w:w="4303"/>
        <w:gridCol w:w="5889"/>
      </w:tblGrid>
      <w:tr w:rsidR="00B544D6">
        <w:trPr>
          <w:tblHeader/>
          <w:jc w:val="center"/>
        </w:trPr>
        <w:tc>
          <w:tcPr>
            <w:tcW w:w="4986" w:type="dxa"/>
            <w:shd w:val="clear" w:color="auto" w:fill="0E5C80"/>
            <w:tcMar>
              <w:top w:w="80" w:type="dxa"/>
              <w:left w:w="110" w:type="dxa"/>
              <w:bottom w:w="80" w:type="dxa"/>
              <w:right w:w="110" w:type="dxa"/>
            </w:tcMar>
            <w:vAlign w:val="center"/>
          </w:tcPr>
          <w:p w:rsidR="00B544D6" w:rsidRDefault="000F6872">
            <w:pPr>
              <w:jc w:val="center"/>
            </w:pPr>
            <w:r>
              <w:rPr>
                <w:rFonts w:eastAsia="Calibri"/>
                <w:b/>
                <w:color w:val="FFFFFF"/>
                <w:sz w:val="20"/>
              </w:rPr>
              <w:t>Tab aus Beispiel</w:t>
            </w:r>
          </w:p>
        </w:tc>
        <w:tc>
          <w:tcPr>
            <w:tcW w:w="4986" w:type="dxa"/>
            <w:shd w:val="clear" w:color="auto" w:fill="0E5C80"/>
            <w:tcMar>
              <w:top w:w="80" w:type="dxa"/>
              <w:left w:w="110" w:type="dxa"/>
              <w:bottom w:w="80" w:type="dxa"/>
              <w:right w:w="110" w:type="dxa"/>
            </w:tcMar>
            <w:vAlign w:val="center"/>
          </w:tcPr>
          <w:p w:rsidR="00B544D6" w:rsidRDefault="000F6872">
            <w:pPr>
              <w:jc w:val="center"/>
            </w:pPr>
            <w:r>
              <w:rPr>
                <w:rFonts w:eastAsia="Calibri"/>
                <w:b/>
                <w:color w:val="FFFFFF"/>
                <w:sz w:val="20"/>
              </w:rPr>
              <w:t>Inhaltsschwerpunkt</w:t>
            </w:r>
          </w:p>
        </w:tc>
      </w:tr>
      <w:tr w:rsidR="00B544D6">
        <w:trPr>
          <w:jc w:val="center"/>
        </w:trPr>
        <w:tc>
          <w:tcPr>
            <w:tcW w:w="2381"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TAB_1</w:t>
            </w:r>
          </w:p>
        </w:tc>
        <w:tc>
          <w:tcPr>
            <w:tcW w:w="6690"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Adress- und Basisdaten inklusive Upload eines Vertragsdokuments und Decimal-Feld.</w:t>
            </w:r>
          </w:p>
        </w:tc>
      </w:tr>
      <w:tr w:rsidR="00B544D6">
        <w:trPr>
          <w:jc w:val="center"/>
        </w:trPr>
        <w:tc>
          <w:tcPr>
            <w:tcW w:w="2381"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TAB_2</w:t>
            </w:r>
          </w:p>
        </w:tc>
        <w:tc>
          <w:tcPr>
            <w:tcW w:w="6690"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Kontaktdaten wie E-Mail, Telefon, Geburtstag und Erfassungsdatum.</w:t>
            </w:r>
          </w:p>
        </w:tc>
      </w:tr>
      <w:tr w:rsidR="00B544D6">
        <w:trPr>
          <w:jc w:val="center"/>
        </w:trPr>
        <w:tc>
          <w:tcPr>
            <w:tcW w:w="2381"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TAB_3</w:t>
            </w:r>
          </w:p>
        </w:tc>
        <w:tc>
          <w:tcPr>
            <w:tcW w:w="6690"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Banking mit IBAN und Kontoinhaber.</w:t>
            </w:r>
          </w:p>
        </w:tc>
      </w:tr>
      <w:tr w:rsidR="00B544D6">
        <w:trPr>
          <w:jc w:val="center"/>
        </w:trPr>
        <w:tc>
          <w:tcPr>
            <w:tcW w:w="2381"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TAB_4</w:t>
            </w:r>
          </w:p>
        </w:tc>
        <w:tc>
          <w:tcPr>
            <w:tcW w:w="6690"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Benutzerrollen per Double Select auf Basis einer SQL-Auswahl.</w:t>
            </w:r>
          </w:p>
        </w:tc>
      </w:tr>
    </w:tbl>
    <w:p w:rsidR="00B544D6" w:rsidRDefault="00B544D6"/>
    <w:p w:rsidR="00B544D6" w:rsidRDefault="000F6872">
      <w:pPr>
        <w:keepNext/>
        <w:spacing w:before="20" w:after="40" w:line="240" w:lineRule="auto"/>
      </w:pPr>
      <w:r>
        <w:rPr>
          <w:rFonts w:eastAsia="Calibri"/>
          <w:b/>
          <w:color w:val="16406F"/>
          <w:sz w:val="20"/>
        </w:rPr>
        <w:t>Feldauszug aus dem Formularbeispiel</w:t>
      </w:r>
    </w:p>
    <w:tbl>
      <w:tblPr>
        <w:tblW w:w="0" w:type="auto"/>
        <w:jc w:val="center"/>
        <w:tblLook w:val="04A0" w:firstRow="1" w:lastRow="0" w:firstColumn="1" w:lastColumn="0" w:noHBand="0" w:noVBand="1"/>
      </w:tblPr>
      <w:tblGrid>
        <w:gridCol w:w="9972"/>
      </w:tblGrid>
      <w:tr w:rsidR="00B544D6">
        <w:trPr>
          <w:jc w:val="center"/>
        </w:trPr>
        <w:tc>
          <w:tcPr>
            <w:tcW w:w="9972" w:type="dxa"/>
            <w:tcBorders>
              <w:top w:val="single" w:sz="6" w:space="0" w:color="C9D3DE"/>
              <w:left w:val="single" w:sz="6" w:space="0" w:color="C9D3DE"/>
              <w:bottom w:val="single" w:sz="6" w:space="0" w:color="C9D3DE"/>
              <w:right w:val="single" w:sz="6" w:space="0" w:color="C9D3DE"/>
            </w:tcBorders>
            <w:shd w:val="clear" w:color="auto" w:fill="F5F7FA"/>
            <w:tcMar>
              <w:top w:w="90" w:type="dxa"/>
              <w:left w:w="120" w:type="dxa"/>
              <w:bottom w:w="90" w:type="dxa"/>
              <w:right w:w="120" w:type="dxa"/>
            </w:tcMar>
          </w:tcPr>
          <w:p w:rsidR="00B544D6" w:rsidRDefault="000F6872">
            <w:pPr>
              <w:spacing w:after="0" w:line="245" w:lineRule="auto"/>
            </w:pPr>
            <w:r>
              <w:rPr>
                <w:rFonts w:ascii="Courier New" w:eastAsia="Courier New" w:hAnsi="Courier New"/>
                <w:color w:val="373737"/>
                <w:sz w:val="16"/>
              </w:rPr>
              <w:t>'salutation' =&gt; [</w:t>
            </w:r>
            <w:r>
              <w:rPr>
                <w:rFonts w:ascii="Courier New" w:eastAsia="Courier New" w:hAnsi="Courier New"/>
                <w:color w:val="373737"/>
                <w:sz w:val="16"/>
              </w:rPr>
              <w:br/>
              <w:t xml:space="preserve">    'label'        =&gt; 'salutation',</w:t>
            </w:r>
            <w:r>
              <w:rPr>
                <w:rFonts w:ascii="Courier New" w:eastAsia="Courier New" w:hAnsi="Courier New"/>
                <w:color w:val="373737"/>
                <w:sz w:val="16"/>
              </w:rPr>
              <w:br/>
              <w:t xml:space="preserve">    'type'         =&gt; 'text',</w:t>
            </w:r>
            <w:r>
              <w:rPr>
                <w:rFonts w:ascii="Courier New" w:eastAsia="Courier New" w:hAnsi="Courier New"/>
                <w:color w:val="373737"/>
                <w:sz w:val="16"/>
              </w:rPr>
              <w:br/>
              <w:t xml:space="preserve">    'input_length' =&gt; 12,</w:t>
            </w:r>
            <w:r>
              <w:rPr>
                <w:rFonts w:ascii="Courier New" w:eastAsia="Courier New" w:hAnsi="Courier New"/>
                <w:color w:val="373737"/>
                <w:sz w:val="16"/>
              </w:rPr>
              <w:br/>
              <w:t xml:space="preserve">    'required'     =&gt; true,</w:t>
            </w:r>
            <w:r>
              <w:rPr>
                <w:rFonts w:ascii="Courier New" w:eastAsia="Courier New" w:hAnsi="Courier New"/>
                <w:color w:val="373737"/>
                <w:sz w:val="16"/>
              </w:rPr>
              <w:br/>
            </w:r>
            <w:r>
              <w:rPr>
                <w:rFonts w:ascii="Courier New" w:eastAsia="Courier New" w:hAnsi="Courier New"/>
                <w:color w:val="373737"/>
                <w:sz w:val="16"/>
              </w:rPr>
              <w:lastRenderedPageBreak/>
              <w:t xml:space="preserve">    'tooltip'      =&gt; 'Bitte geben Sie die Anrede ein',</w:t>
            </w:r>
            <w:r>
              <w:rPr>
                <w:rFonts w:ascii="Courier New" w:eastAsia="Courier New" w:hAnsi="Courier New"/>
                <w:color w:val="373737"/>
                <w:sz w:val="16"/>
              </w:rPr>
              <w:br/>
              <w:t>],</w:t>
            </w:r>
            <w:r>
              <w:rPr>
                <w:rFonts w:ascii="Courier New" w:eastAsia="Courier New" w:hAnsi="Courier New"/>
                <w:color w:val="373737"/>
                <w:sz w:val="16"/>
              </w:rPr>
              <w:br/>
            </w:r>
            <w:r>
              <w:rPr>
                <w:rFonts w:ascii="Courier New" w:eastAsia="Courier New" w:hAnsi="Courier New"/>
                <w:color w:val="373737"/>
                <w:sz w:val="16"/>
              </w:rPr>
              <w:br/>
              <w:t>'contract_file' =&gt; [</w:t>
            </w:r>
            <w:r>
              <w:rPr>
                <w:rFonts w:ascii="Courier New" w:eastAsia="Courier New" w:hAnsi="Courier New"/>
                <w:color w:val="373737"/>
                <w:sz w:val="16"/>
              </w:rPr>
              <w:br/>
              <w:t xml:space="preserve">    'label'             =&gt; 'Vertragsdokument',</w:t>
            </w:r>
            <w:r>
              <w:rPr>
                <w:rFonts w:ascii="Courier New" w:eastAsia="Courier New" w:hAnsi="Courier New"/>
                <w:color w:val="373737"/>
                <w:sz w:val="16"/>
              </w:rPr>
              <w:br/>
              <w:t xml:space="preserve">    'type'              =&gt; 'file_upload_to_path',</w:t>
            </w:r>
            <w:r>
              <w:rPr>
                <w:rFonts w:ascii="Courier New" w:eastAsia="Courier New" w:hAnsi="Courier New"/>
                <w:color w:val="373737"/>
                <w:sz w:val="16"/>
              </w:rPr>
              <w:br/>
              <w:t xml:space="preserve">    'allowed_extension' =&gt; 'pdf,docx,doc',</w:t>
            </w:r>
            <w:r>
              <w:rPr>
                <w:rFonts w:ascii="Courier New" w:eastAsia="Courier New" w:hAnsi="Courier New"/>
                <w:color w:val="373737"/>
                <w:sz w:val="16"/>
              </w:rPr>
              <w:br/>
              <w:t xml:space="preserve">    'path_to_store'     =&gt; 'contract',</w:t>
            </w:r>
            <w:r>
              <w:rPr>
                <w:rFonts w:ascii="Courier New" w:eastAsia="Courier New" w:hAnsi="Courier New"/>
                <w:color w:val="373737"/>
                <w:sz w:val="16"/>
              </w:rPr>
              <w:br/>
              <w:t xml:space="preserve">    'max_size_in_kb'    =&gt; 50000,</w:t>
            </w:r>
            <w:r>
              <w:rPr>
                <w:rFonts w:ascii="Courier New" w:eastAsia="Courier New" w:hAnsi="Courier New"/>
                <w:color w:val="373737"/>
                <w:sz w:val="16"/>
              </w:rPr>
              <w:br/>
              <w:t>],</w:t>
            </w:r>
            <w:r>
              <w:rPr>
                <w:rFonts w:ascii="Courier New" w:eastAsia="Courier New" w:hAnsi="Courier New"/>
                <w:color w:val="373737"/>
                <w:sz w:val="16"/>
              </w:rPr>
              <w:br/>
            </w:r>
            <w:r>
              <w:rPr>
                <w:rFonts w:ascii="Courier New" w:eastAsia="Courier New" w:hAnsi="Courier New"/>
                <w:color w:val="373737"/>
                <w:sz w:val="16"/>
              </w:rPr>
              <w:br/>
              <w:t>'role' =&gt; [</w:t>
            </w:r>
            <w:r>
              <w:rPr>
                <w:rFonts w:ascii="Courier New" w:eastAsia="Courier New" w:hAnsi="Courier New"/>
                <w:color w:val="373737"/>
                <w:sz w:val="16"/>
              </w:rPr>
              <w:br/>
              <w:t xml:space="preserve">    'label'      =&gt; 'Rollen (Benutzer)',</w:t>
            </w:r>
            <w:r>
              <w:rPr>
                <w:rFonts w:ascii="Courier New" w:eastAsia="Courier New" w:hAnsi="Courier New"/>
                <w:color w:val="373737"/>
                <w:sz w:val="16"/>
              </w:rPr>
              <w:br/>
              <w:t xml:space="preserve">    'type'       =&gt; 'double select',</w:t>
            </w:r>
            <w:r>
              <w:rPr>
                <w:rFonts w:ascii="Courier New" w:eastAsia="Courier New" w:hAnsi="Courier New"/>
                <w:color w:val="373737"/>
                <w:sz w:val="16"/>
              </w:rPr>
              <w:br/>
              <w:t xml:space="preserve">    'required'   =&gt; true,</w:t>
            </w:r>
            <w:r>
              <w:rPr>
                <w:rFonts w:ascii="Courier New" w:eastAsia="Courier New" w:hAnsi="Courier New"/>
                <w:color w:val="373737"/>
                <w:sz w:val="16"/>
              </w:rPr>
              <w:br/>
              <w:t xml:space="preserve">    'db_auswahl' =&gt; 'select group_id,description from iss_group',</w:t>
            </w:r>
            <w:r>
              <w:rPr>
                <w:rFonts w:ascii="Courier New" w:eastAsia="Courier New" w:hAnsi="Courier New"/>
                <w:color w:val="373737"/>
                <w:sz w:val="16"/>
              </w:rPr>
              <w:br/>
              <w:t xml:space="preserve">    'delimiter'  =&gt; ',',</w:t>
            </w:r>
            <w:r>
              <w:rPr>
                <w:rFonts w:ascii="Courier New" w:eastAsia="Courier New" w:hAnsi="Courier New"/>
                <w:color w:val="373737"/>
                <w:sz w:val="16"/>
              </w:rPr>
              <w:br/>
              <w:t>],</w:t>
            </w:r>
          </w:p>
        </w:tc>
      </w:tr>
    </w:tbl>
    <w:p w:rsidR="00B544D6" w:rsidRDefault="00B544D6"/>
    <w:p w:rsidR="00B544D6" w:rsidRDefault="000F6872">
      <w:pPr>
        <w:pStyle w:val="berschrift1"/>
        <w:spacing w:before="120" w:after="60" w:line="252" w:lineRule="auto"/>
      </w:pPr>
      <w:r>
        <w:rPr>
          <w:rFonts w:ascii="Calibri" w:eastAsia="Calibri" w:hAnsi="Calibri"/>
        </w:rPr>
        <w:t>5. Feldtypen und Attributlogik</w:t>
      </w:r>
    </w:p>
    <w:p w:rsidR="00B544D6" w:rsidRDefault="000F6872">
      <w:pPr>
        <w:spacing w:after="100" w:line="283" w:lineRule="auto"/>
        <w:jc w:val="both"/>
      </w:pPr>
      <w:r>
        <w:rPr>
          <w:rFonts w:eastAsia="Calibri"/>
        </w:rPr>
        <w:t>Die Unterlage mit Feldattributen zeigt, dass das Formularmodell mehrere wiederverwendbare Feldtypen vorsieht. Die Besonderheit ist nicht nur die Anzahl der Typen, sondern dass ihre spezifischen Eigenschaften bereits in der Konfigurationsgrammatik ausgedrueckt werden.</w:t>
      </w:r>
    </w:p>
    <w:tbl>
      <w:tblPr>
        <w:tblStyle w:val="Tabellenraster"/>
        <w:tblW w:w="0" w:type="auto"/>
        <w:jc w:val="center"/>
        <w:tblLook w:val="04A0" w:firstRow="1" w:lastRow="0" w:firstColumn="1" w:lastColumn="0" w:noHBand="0" w:noVBand="1"/>
      </w:tblPr>
      <w:tblGrid>
        <w:gridCol w:w="4493"/>
        <w:gridCol w:w="5699"/>
      </w:tblGrid>
      <w:tr w:rsidR="00B544D6">
        <w:trPr>
          <w:tblHeader/>
          <w:jc w:val="center"/>
        </w:trPr>
        <w:tc>
          <w:tcPr>
            <w:tcW w:w="4986" w:type="dxa"/>
            <w:shd w:val="clear" w:color="auto" w:fill="1F4E79"/>
            <w:tcMar>
              <w:top w:w="80" w:type="dxa"/>
              <w:left w:w="110" w:type="dxa"/>
              <w:bottom w:w="80" w:type="dxa"/>
              <w:right w:w="110" w:type="dxa"/>
            </w:tcMar>
            <w:vAlign w:val="center"/>
          </w:tcPr>
          <w:p w:rsidR="00B544D6" w:rsidRDefault="000F6872">
            <w:pPr>
              <w:jc w:val="center"/>
            </w:pPr>
            <w:r>
              <w:rPr>
                <w:rFonts w:eastAsia="Calibri"/>
                <w:b/>
                <w:color w:val="FFFFFF"/>
                <w:sz w:val="20"/>
              </w:rPr>
              <w:t>Feldtyp</w:t>
            </w:r>
          </w:p>
        </w:tc>
        <w:tc>
          <w:tcPr>
            <w:tcW w:w="4986" w:type="dxa"/>
            <w:shd w:val="clear" w:color="auto" w:fill="1F4E79"/>
            <w:tcMar>
              <w:top w:w="80" w:type="dxa"/>
              <w:left w:w="110" w:type="dxa"/>
              <w:bottom w:w="80" w:type="dxa"/>
              <w:right w:w="110" w:type="dxa"/>
            </w:tcMar>
            <w:vAlign w:val="center"/>
          </w:tcPr>
          <w:p w:rsidR="00B544D6" w:rsidRDefault="000F6872">
            <w:pPr>
              <w:jc w:val="center"/>
            </w:pPr>
            <w:r>
              <w:rPr>
                <w:rFonts w:eastAsia="Calibri"/>
                <w:b/>
                <w:color w:val="FFFFFF"/>
                <w:sz w:val="20"/>
              </w:rPr>
              <w:t>Charakteristik laut Unterlagen</w:t>
            </w:r>
          </w:p>
        </w:tc>
      </w:tr>
      <w:tr w:rsidR="00B544D6">
        <w:trPr>
          <w:jc w:val="center"/>
        </w:trPr>
        <w:tc>
          <w:tcPr>
            <w:tcW w:w="2721"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text und text_multiline</w:t>
            </w:r>
          </w:p>
        </w:tc>
        <w:tc>
          <w:tcPr>
            <w:tcW w:w="6350"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Standardtexteingabe plus mehrzeilige Felder mit definierter Groesse.</w:t>
            </w:r>
          </w:p>
        </w:tc>
      </w:tr>
      <w:tr w:rsidR="00B544D6">
        <w:trPr>
          <w:jc w:val="center"/>
        </w:trPr>
        <w:tc>
          <w:tcPr>
            <w:tcW w:w="2721"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html</w:t>
            </w:r>
          </w:p>
        </w:tc>
        <w:tc>
          <w:tcPr>
            <w:tcW w:w="6350"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Reine Anzeige fuer vorbereiteten HTML-Inhalt.</w:t>
            </w:r>
          </w:p>
        </w:tc>
      </w:tr>
      <w:tr w:rsidR="00B544D6">
        <w:trPr>
          <w:jc w:val="center"/>
        </w:trPr>
        <w:tc>
          <w:tcPr>
            <w:tcW w:w="2721"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select und lookup_simple</w:t>
            </w:r>
          </w:p>
        </w:tc>
        <w:tc>
          <w:tcPr>
            <w:tcW w:w="6350"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Auswahllisten ueber feste Werte oder SQL-basierte Lookups.</w:t>
            </w:r>
          </w:p>
        </w:tc>
      </w:tr>
      <w:tr w:rsidR="00B544D6">
        <w:trPr>
          <w:jc w:val="center"/>
        </w:trPr>
        <w:tc>
          <w:tcPr>
            <w:tcW w:w="2721"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double select</w:t>
            </w:r>
          </w:p>
        </w:tc>
        <w:tc>
          <w:tcPr>
            <w:tcW w:w="6350"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Mehrfachauswahl mit linker und rechter Liste.</w:t>
            </w:r>
          </w:p>
        </w:tc>
      </w:tr>
      <w:tr w:rsidR="00B544D6">
        <w:trPr>
          <w:jc w:val="center"/>
        </w:trPr>
        <w:tc>
          <w:tcPr>
            <w:tcW w:w="2721"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checkbox</w:t>
            </w:r>
          </w:p>
        </w:tc>
        <w:tc>
          <w:tcPr>
            <w:tcW w:w="6350"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Boolesche Eingabe.</w:t>
            </w:r>
          </w:p>
        </w:tc>
      </w:tr>
      <w:tr w:rsidR="00B544D6">
        <w:trPr>
          <w:jc w:val="center"/>
        </w:trPr>
        <w:tc>
          <w:tcPr>
            <w:tcW w:w="2721"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date und datetime</w:t>
            </w:r>
          </w:p>
        </w:tc>
        <w:tc>
          <w:tcPr>
            <w:tcW w:w="6350"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Datums- und Zeitfelder mit Kalenderunterstuetzung.</w:t>
            </w:r>
          </w:p>
        </w:tc>
      </w:tr>
      <w:tr w:rsidR="00B544D6">
        <w:trPr>
          <w:jc w:val="center"/>
        </w:trPr>
        <w:tc>
          <w:tcPr>
            <w:tcW w:w="2721"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decimal</w:t>
            </w:r>
          </w:p>
        </w:tc>
        <w:tc>
          <w:tcPr>
            <w:tcW w:w="6350"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Numerisches Feld mit decimal und precision.</w:t>
            </w:r>
          </w:p>
        </w:tc>
      </w:tr>
      <w:tr w:rsidR="00B544D6">
        <w:trPr>
          <w:jc w:val="center"/>
        </w:trPr>
        <w:tc>
          <w:tcPr>
            <w:tcW w:w="2721"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ip-address</w:t>
            </w:r>
          </w:p>
        </w:tc>
        <w:tc>
          <w:tcPr>
            <w:tcW w:w="6350"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Spezialisierter Eingabetyp fuer IP-Werte.</w:t>
            </w:r>
          </w:p>
        </w:tc>
      </w:tr>
      <w:tr w:rsidR="00B544D6">
        <w:trPr>
          <w:jc w:val="center"/>
        </w:trPr>
        <w:tc>
          <w:tcPr>
            <w:tcW w:w="2721"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file_upload_to_path und image</w:t>
            </w:r>
          </w:p>
        </w:tc>
        <w:tc>
          <w:tcPr>
            <w:tcW w:w="6350"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Datei- und Bildablage mit Zielpfad beziehungsweise Groessenangaben.</w:t>
            </w:r>
          </w:p>
        </w:tc>
      </w:tr>
      <w:tr w:rsidR="00B544D6">
        <w:trPr>
          <w:jc w:val="center"/>
        </w:trPr>
        <w:tc>
          <w:tcPr>
            <w:tcW w:w="2721"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mosaic-editor</w:t>
            </w:r>
          </w:p>
        </w:tc>
        <w:tc>
          <w:tcPr>
            <w:tcW w:w="6350"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Richtext-Eingabe mit Werkzeugprofil und Hoehenangabe.</w:t>
            </w:r>
          </w:p>
        </w:tc>
      </w:tr>
    </w:tbl>
    <w:p w:rsidR="00B544D6" w:rsidRDefault="00B544D6"/>
    <w:p w:rsidR="00B544D6" w:rsidRDefault="000F6872">
      <w:pPr>
        <w:keepNext/>
        <w:spacing w:before="20" w:after="40" w:line="240" w:lineRule="auto"/>
      </w:pPr>
      <w:r>
        <w:rPr>
          <w:rFonts w:eastAsia="Calibri"/>
          <w:b/>
          <w:color w:val="16406F"/>
          <w:sz w:val="20"/>
        </w:rPr>
        <w:t>Typische Attributmuster</w:t>
      </w:r>
    </w:p>
    <w:tbl>
      <w:tblPr>
        <w:tblW w:w="0" w:type="auto"/>
        <w:jc w:val="center"/>
        <w:tblLook w:val="04A0" w:firstRow="1" w:lastRow="0" w:firstColumn="1" w:lastColumn="0" w:noHBand="0" w:noVBand="1"/>
      </w:tblPr>
      <w:tblGrid>
        <w:gridCol w:w="9972"/>
      </w:tblGrid>
      <w:tr w:rsidR="00B544D6">
        <w:trPr>
          <w:jc w:val="center"/>
        </w:trPr>
        <w:tc>
          <w:tcPr>
            <w:tcW w:w="9972" w:type="dxa"/>
            <w:tcBorders>
              <w:top w:val="single" w:sz="6" w:space="0" w:color="C9D3DE"/>
              <w:left w:val="single" w:sz="6" w:space="0" w:color="C9D3DE"/>
              <w:bottom w:val="single" w:sz="6" w:space="0" w:color="C9D3DE"/>
              <w:right w:val="single" w:sz="6" w:space="0" w:color="C9D3DE"/>
            </w:tcBorders>
            <w:shd w:val="clear" w:color="auto" w:fill="F5F7FA"/>
            <w:tcMar>
              <w:top w:w="90" w:type="dxa"/>
              <w:left w:w="120" w:type="dxa"/>
              <w:bottom w:w="90" w:type="dxa"/>
              <w:right w:w="120" w:type="dxa"/>
            </w:tcMar>
          </w:tcPr>
          <w:p w:rsidR="00B544D6" w:rsidRDefault="000F6872">
            <w:pPr>
              <w:spacing w:after="0" w:line="245" w:lineRule="auto"/>
            </w:pPr>
            <w:r>
              <w:rPr>
                <w:rFonts w:ascii="Courier New" w:eastAsia="Courier New" w:hAnsi="Courier New"/>
                <w:color w:val="373737"/>
                <w:sz w:val="16"/>
              </w:rPr>
              <w:t>'produkt_ref' =&gt; [</w:t>
            </w:r>
            <w:r>
              <w:rPr>
                <w:rFonts w:ascii="Courier New" w:eastAsia="Courier New" w:hAnsi="Courier New"/>
                <w:color w:val="373737"/>
                <w:sz w:val="16"/>
              </w:rPr>
              <w:br/>
              <w:t xml:space="preserve">    'label'         =&gt; 'Produkt',</w:t>
            </w:r>
            <w:r>
              <w:rPr>
                <w:rFonts w:ascii="Courier New" w:eastAsia="Courier New" w:hAnsi="Courier New"/>
                <w:color w:val="373737"/>
                <w:sz w:val="16"/>
              </w:rPr>
              <w:br/>
              <w:t xml:space="preserve">    'type'          =&gt; 'select',</w:t>
            </w:r>
            <w:r>
              <w:rPr>
                <w:rFonts w:ascii="Courier New" w:eastAsia="Courier New" w:hAnsi="Courier New"/>
                <w:color w:val="373737"/>
                <w:sz w:val="16"/>
              </w:rPr>
              <w:br/>
              <w:t xml:space="preserve">    'multiple'      =&gt; false,</w:t>
            </w:r>
            <w:r>
              <w:rPr>
                <w:rFonts w:ascii="Courier New" w:eastAsia="Courier New" w:hAnsi="Courier New"/>
                <w:color w:val="373737"/>
                <w:sz w:val="16"/>
              </w:rPr>
              <w:br/>
              <w:t xml:space="preserve">    'lookup_method' =&gt; 'automatic',</w:t>
            </w:r>
            <w:r>
              <w:rPr>
                <w:rFonts w:ascii="Courier New" w:eastAsia="Courier New" w:hAnsi="Courier New"/>
                <w:color w:val="373737"/>
                <w:sz w:val="16"/>
              </w:rPr>
              <w:br/>
              <w:t xml:space="preserve">    'lookup_sql'    =&gt; 'SELECT `produkt_id`, `bezeichnung` FROM `produkt` ORDER BY `bezeichnung`',</w:t>
            </w:r>
            <w:r>
              <w:rPr>
                <w:rFonts w:ascii="Courier New" w:eastAsia="Courier New" w:hAnsi="Courier New"/>
                <w:color w:val="373737"/>
                <w:sz w:val="16"/>
              </w:rPr>
              <w:br/>
              <w:t xml:space="preserve">    'required'      =&gt; true,</w:t>
            </w:r>
            <w:r>
              <w:rPr>
                <w:rFonts w:ascii="Courier New" w:eastAsia="Courier New" w:hAnsi="Courier New"/>
                <w:color w:val="373737"/>
                <w:sz w:val="16"/>
              </w:rPr>
              <w:br/>
              <w:t>],</w:t>
            </w:r>
            <w:r>
              <w:rPr>
                <w:rFonts w:ascii="Courier New" w:eastAsia="Courier New" w:hAnsi="Courier New"/>
                <w:color w:val="373737"/>
                <w:sz w:val="16"/>
              </w:rPr>
              <w:br/>
            </w:r>
            <w:r>
              <w:rPr>
                <w:rFonts w:ascii="Courier New" w:eastAsia="Courier New" w:hAnsi="Courier New"/>
                <w:color w:val="373737"/>
                <w:sz w:val="16"/>
              </w:rPr>
              <w:br/>
              <w:t>'notes' =&gt; [</w:t>
            </w:r>
            <w:r>
              <w:rPr>
                <w:rFonts w:ascii="Courier New" w:eastAsia="Courier New" w:hAnsi="Courier New"/>
                <w:color w:val="373737"/>
                <w:sz w:val="16"/>
              </w:rPr>
              <w:br/>
              <w:t xml:space="preserve">    'label'       =&gt; 'Notizen',</w:t>
            </w:r>
            <w:r>
              <w:rPr>
                <w:rFonts w:ascii="Courier New" w:eastAsia="Courier New" w:hAnsi="Courier New"/>
                <w:color w:val="373737"/>
                <w:sz w:val="16"/>
              </w:rPr>
              <w:br/>
              <w:t xml:space="preserve">    'type'        =&gt; 'mosaic-editor',</w:t>
            </w:r>
            <w:r>
              <w:rPr>
                <w:rFonts w:ascii="Courier New" w:eastAsia="Courier New" w:hAnsi="Courier New"/>
                <w:color w:val="373737"/>
                <w:sz w:val="16"/>
              </w:rPr>
              <w:br/>
              <w:t xml:space="preserve">    'placeholder' =&gt; 'Hier schreiben…',</w:t>
            </w:r>
            <w:r>
              <w:rPr>
                <w:rFonts w:ascii="Courier New" w:eastAsia="Courier New" w:hAnsi="Courier New"/>
                <w:color w:val="373737"/>
                <w:sz w:val="16"/>
              </w:rPr>
              <w:br/>
              <w:t xml:space="preserve">    'height'      =&gt; 200,</w:t>
            </w:r>
            <w:r>
              <w:rPr>
                <w:rFonts w:ascii="Courier New" w:eastAsia="Courier New" w:hAnsi="Courier New"/>
                <w:color w:val="373737"/>
                <w:sz w:val="16"/>
              </w:rPr>
              <w:br/>
              <w:t xml:space="preserve">    'length'      =&gt; 2000,</w:t>
            </w:r>
            <w:r>
              <w:rPr>
                <w:rFonts w:ascii="Courier New" w:eastAsia="Courier New" w:hAnsi="Courier New"/>
                <w:color w:val="373737"/>
                <w:sz w:val="16"/>
              </w:rPr>
              <w:br/>
            </w:r>
            <w:r>
              <w:rPr>
                <w:rFonts w:ascii="Courier New" w:eastAsia="Courier New" w:hAnsi="Courier New"/>
                <w:color w:val="373737"/>
                <w:sz w:val="16"/>
              </w:rPr>
              <w:lastRenderedPageBreak/>
              <w:t xml:space="preserve">    'editor_tool' =&gt; 'basic',</w:t>
            </w:r>
            <w:r>
              <w:rPr>
                <w:rFonts w:ascii="Courier New" w:eastAsia="Courier New" w:hAnsi="Courier New"/>
                <w:color w:val="373737"/>
                <w:sz w:val="16"/>
              </w:rPr>
              <w:br/>
              <w:t>],</w:t>
            </w:r>
          </w:p>
        </w:tc>
      </w:tr>
    </w:tbl>
    <w:p w:rsidR="00B544D6" w:rsidRDefault="00B544D6"/>
    <w:p w:rsidR="00B544D6" w:rsidRDefault="000F6872">
      <w:pPr>
        <w:pStyle w:val="berschrift1"/>
        <w:spacing w:before="120" w:after="60" w:line="252" w:lineRule="auto"/>
      </w:pPr>
      <w:r>
        <w:rPr>
          <w:rFonts w:ascii="Calibri" w:eastAsia="Calibri" w:hAnsi="Calibri"/>
        </w:rPr>
        <w:t>6. Erweiterungspunkte ueber Funktionsdateien</w:t>
      </w:r>
    </w:p>
    <w:p w:rsidR="00B544D6" w:rsidRDefault="000F6872">
      <w:pPr>
        <w:spacing w:after="100" w:line="283" w:lineRule="auto"/>
        <w:jc w:val="both"/>
      </w:pPr>
      <w:r>
        <w:rPr>
          <w:rFonts w:eastAsia="Calibri"/>
        </w:rPr>
        <w:t>Konfiguration allein reicht naturgemaess nicht fuer jede individuelle Aktion. Das Beispiel fuer benutzerdefinierte Grid-Buttons zeigt, wie projektspezifische Aktionen in PHP-Funktionen an das generische Grid angedockt werden.</w:t>
      </w:r>
    </w:p>
    <w:p w:rsidR="00B544D6" w:rsidRDefault="000F6872">
      <w:pPr>
        <w:keepNext/>
        <w:spacing w:before="20" w:after="40" w:line="240" w:lineRule="auto"/>
      </w:pPr>
      <w:r>
        <w:rPr>
          <w:rFonts w:eastAsia="Calibri"/>
          <w:b/>
          <w:color w:val="16406F"/>
          <w:sz w:val="20"/>
        </w:rPr>
        <w:t>Beispiel einer benutzerdefinierten Grid-Aktion</w:t>
      </w:r>
    </w:p>
    <w:tbl>
      <w:tblPr>
        <w:tblW w:w="0" w:type="auto"/>
        <w:jc w:val="center"/>
        <w:tblLook w:val="04A0" w:firstRow="1" w:lastRow="0" w:firstColumn="1" w:lastColumn="0" w:noHBand="0" w:noVBand="1"/>
      </w:tblPr>
      <w:tblGrid>
        <w:gridCol w:w="9972"/>
      </w:tblGrid>
      <w:tr w:rsidR="00B544D6">
        <w:trPr>
          <w:jc w:val="center"/>
        </w:trPr>
        <w:tc>
          <w:tcPr>
            <w:tcW w:w="9972" w:type="dxa"/>
            <w:tcBorders>
              <w:top w:val="single" w:sz="6" w:space="0" w:color="C9D3DE"/>
              <w:left w:val="single" w:sz="6" w:space="0" w:color="C9D3DE"/>
              <w:bottom w:val="single" w:sz="6" w:space="0" w:color="C9D3DE"/>
              <w:right w:val="single" w:sz="6" w:space="0" w:color="C9D3DE"/>
            </w:tcBorders>
            <w:shd w:val="clear" w:color="auto" w:fill="F5F7FA"/>
            <w:tcMar>
              <w:top w:w="90" w:type="dxa"/>
              <w:left w:w="120" w:type="dxa"/>
              <w:bottom w:w="90" w:type="dxa"/>
              <w:right w:w="120" w:type="dxa"/>
            </w:tcMar>
          </w:tcPr>
          <w:p w:rsidR="00B544D6" w:rsidRDefault="000F6872">
            <w:pPr>
              <w:spacing w:after="0" w:line="245" w:lineRule="auto"/>
            </w:pPr>
            <w:r>
              <w:rPr>
                <w:rFonts w:ascii="Courier New" w:eastAsia="Courier New" w:hAnsi="Courier New"/>
                <w:color w:val="373737"/>
                <w:sz w:val="16"/>
              </w:rPr>
              <w:t>function delete_selected_rows(): void</w:t>
            </w:r>
            <w:r>
              <w:rPr>
                <w:rFonts w:ascii="Courier New" w:eastAsia="Courier New" w:hAnsi="Courier New"/>
                <w:color w:val="373737"/>
                <w:sz w:val="16"/>
              </w:rPr>
              <w:br/>
              <w:t>{</w:t>
            </w:r>
            <w:r>
              <w:rPr>
                <w:rFonts w:ascii="Courier New" w:eastAsia="Courier New" w:hAnsi="Courier New"/>
                <w:color w:val="373737"/>
                <w:sz w:val="16"/>
              </w:rPr>
              <w:br/>
              <w:t xml:space="preserve">    global $modulConfig;</w:t>
            </w:r>
            <w:r>
              <w:rPr>
                <w:rFonts w:ascii="Courier New" w:eastAsia="Courier New" w:hAnsi="Courier New"/>
                <w:color w:val="373737"/>
                <w:sz w:val="16"/>
              </w:rPr>
              <w:br/>
              <w:t xml:space="preserve">    global $pdo;</w:t>
            </w:r>
            <w:r>
              <w:rPr>
                <w:rFonts w:ascii="Courier New" w:eastAsia="Courier New" w:hAnsi="Courier New"/>
                <w:color w:val="373737"/>
                <w:sz w:val="16"/>
              </w:rPr>
              <w:br/>
            </w:r>
            <w:r>
              <w:rPr>
                <w:rFonts w:ascii="Courier New" w:eastAsia="Courier New" w:hAnsi="Courier New"/>
                <w:color w:val="373737"/>
                <w:sz w:val="16"/>
              </w:rPr>
              <w:br/>
              <w:t xml:space="preserve">    $table = (string)($modulConfig['table'] ?? '');</w:t>
            </w:r>
            <w:r>
              <w:rPr>
                <w:rFonts w:ascii="Courier New" w:eastAsia="Courier New" w:hAnsi="Courier New"/>
                <w:color w:val="373737"/>
                <w:sz w:val="16"/>
              </w:rPr>
              <w:br/>
              <w:t xml:space="preserve">    $pk    = (string)($modulConfig['primary_key'] ?? '');</w:t>
            </w:r>
            <w:r>
              <w:rPr>
                <w:rFonts w:ascii="Courier New" w:eastAsia="Courier New" w:hAnsi="Courier New"/>
                <w:color w:val="373737"/>
                <w:sz w:val="16"/>
              </w:rPr>
              <w:br/>
            </w:r>
            <w:r>
              <w:rPr>
                <w:rFonts w:ascii="Courier New" w:eastAsia="Courier New" w:hAnsi="Courier New"/>
                <w:color w:val="373737"/>
                <w:sz w:val="16"/>
              </w:rPr>
              <w:br/>
              <w:t xml:space="preserve">    $selectedRows = $_POST['selected_rows'] ?? [];</w:t>
            </w:r>
            <w:r>
              <w:rPr>
                <w:rFonts w:ascii="Courier New" w:eastAsia="Courier New" w:hAnsi="Courier New"/>
                <w:color w:val="373737"/>
                <w:sz w:val="16"/>
              </w:rPr>
              <w:br/>
              <w:t xml:space="preserve">    $ids = array_values(array_unique(array_filter($selectedRows, static function ($v) {</w:t>
            </w:r>
            <w:r>
              <w:rPr>
                <w:rFonts w:ascii="Courier New" w:eastAsia="Courier New" w:hAnsi="Courier New"/>
                <w:color w:val="373737"/>
                <w:sz w:val="16"/>
              </w:rPr>
              <w:br/>
              <w:t xml:space="preserve">        return $v !== null &amp;&amp; $v !== '';</w:t>
            </w:r>
            <w:r>
              <w:rPr>
                <w:rFonts w:ascii="Courier New" w:eastAsia="Courier New" w:hAnsi="Courier New"/>
                <w:color w:val="373737"/>
                <w:sz w:val="16"/>
              </w:rPr>
              <w:br/>
              <w:t xml:space="preserve">    })));</w:t>
            </w:r>
            <w:r>
              <w:rPr>
                <w:rFonts w:ascii="Courier New" w:eastAsia="Courier New" w:hAnsi="Courier New"/>
                <w:color w:val="373737"/>
                <w:sz w:val="16"/>
              </w:rPr>
              <w:br/>
            </w:r>
            <w:r>
              <w:rPr>
                <w:rFonts w:ascii="Courier New" w:eastAsia="Courier New" w:hAnsi="Courier New"/>
                <w:color w:val="373737"/>
                <w:sz w:val="16"/>
              </w:rPr>
              <w:br/>
              <w:t xml:space="preserve">    $placeholders = implode(',', array_fill(0, count($ids), '?'));</w:t>
            </w:r>
            <w:r>
              <w:rPr>
                <w:rFonts w:ascii="Courier New" w:eastAsia="Courier New" w:hAnsi="Courier New"/>
                <w:color w:val="373737"/>
                <w:sz w:val="16"/>
              </w:rPr>
              <w:br/>
              <w:t xml:space="preserve">    $sql = "DELETE FROM `{$table}` WHERE `{$pk}` IN ({$placeholders})";</w:t>
            </w:r>
            <w:r>
              <w:rPr>
                <w:rFonts w:ascii="Courier New" w:eastAsia="Courier New" w:hAnsi="Courier New"/>
                <w:color w:val="373737"/>
                <w:sz w:val="16"/>
              </w:rPr>
              <w:br/>
              <w:t xml:space="preserve">    $stmt = $pdo-&gt;prepare($sql);</w:t>
            </w:r>
            <w:r>
              <w:rPr>
                <w:rFonts w:ascii="Courier New" w:eastAsia="Courier New" w:hAnsi="Courier New"/>
                <w:color w:val="373737"/>
                <w:sz w:val="16"/>
              </w:rPr>
              <w:br/>
              <w:t xml:space="preserve">    $stmt-&gt;execute($ids);</w:t>
            </w:r>
            <w:r>
              <w:rPr>
                <w:rFonts w:ascii="Courier New" w:eastAsia="Courier New" w:hAnsi="Courier New"/>
                <w:color w:val="373737"/>
                <w:sz w:val="16"/>
              </w:rPr>
              <w:br/>
              <w:t>}</w:t>
            </w:r>
          </w:p>
        </w:tc>
      </w:tr>
    </w:tbl>
    <w:p w:rsidR="00B544D6" w:rsidRDefault="00B544D6"/>
    <w:tbl>
      <w:tblPr>
        <w:tblStyle w:val="Tabellenraster"/>
        <w:tblW w:w="0" w:type="auto"/>
        <w:jc w:val="center"/>
        <w:tblLook w:val="04A0" w:firstRow="1" w:lastRow="0" w:firstColumn="1" w:lastColumn="0" w:noHBand="0" w:noVBand="1"/>
      </w:tblPr>
      <w:tblGrid>
        <w:gridCol w:w="4346"/>
        <w:gridCol w:w="5846"/>
      </w:tblGrid>
      <w:tr w:rsidR="00B544D6">
        <w:trPr>
          <w:tblHeader/>
          <w:jc w:val="center"/>
        </w:trPr>
        <w:tc>
          <w:tcPr>
            <w:tcW w:w="4986" w:type="dxa"/>
            <w:shd w:val="clear" w:color="auto" w:fill="0E5C80"/>
            <w:tcMar>
              <w:top w:w="80" w:type="dxa"/>
              <w:left w:w="110" w:type="dxa"/>
              <w:bottom w:w="80" w:type="dxa"/>
              <w:right w:w="110" w:type="dxa"/>
            </w:tcMar>
            <w:vAlign w:val="center"/>
          </w:tcPr>
          <w:p w:rsidR="00B544D6" w:rsidRDefault="000F6872">
            <w:pPr>
              <w:jc w:val="center"/>
            </w:pPr>
            <w:r>
              <w:rPr>
                <w:rFonts w:eastAsia="Calibri"/>
                <w:b/>
                <w:color w:val="FFFFFF"/>
                <w:sz w:val="20"/>
              </w:rPr>
              <w:t>Schritt</w:t>
            </w:r>
          </w:p>
        </w:tc>
        <w:tc>
          <w:tcPr>
            <w:tcW w:w="4986" w:type="dxa"/>
            <w:shd w:val="clear" w:color="auto" w:fill="0E5C80"/>
            <w:tcMar>
              <w:top w:w="80" w:type="dxa"/>
              <w:left w:w="110" w:type="dxa"/>
              <w:bottom w:w="80" w:type="dxa"/>
              <w:right w:w="110" w:type="dxa"/>
            </w:tcMar>
            <w:vAlign w:val="center"/>
          </w:tcPr>
          <w:p w:rsidR="00B544D6" w:rsidRDefault="000F6872">
            <w:pPr>
              <w:jc w:val="center"/>
            </w:pPr>
            <w:r>
              <w:rPr>
                <w:rFonts w:eastAsia="Calibri"/>
                <w:b/>
                <w:color w:val="FFFFFF"/>
                <w:sz w:val="20"/>
              </w:rPr>
              <w:t>Bedeutung</w:t>
            </w:r>
          </w:p>
        </w:tc>
      </w:tr>
      <w:tr w:rsidR="00B544D6">
        <w:trPr>
          <w:jc w:val="center"/>
        </w:trPr>
        <w:tc>
          <w:tcPr>
            <w:tcW w:w="2324"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Konfiguration lesen</w:t>
            </w:r>
          </w:p>
        </w:tc>
        <w:tc>
          <w:tcPr>
            <w:tcW w:w="6746"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Die Aktion verwendet table und primary_key direkt aus dem Modulkontext.</w:t>
            </w:r>
          </w:p>
        </w:tc>
      </w:tr>
      <w:tr w:rsidR="00B544D6">
        <w:trPr>
          <w:jc w:val="center"/>
        </w:trPr>
        <w:tc>
          <w:tcPr>
            <w:tcW w:w="2324"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Selection uebernehmen</w:t>
            </w:r>
          </w:p>
        </w:tc>
        <w:tc>
          <w:tcPr>
            <w:tcW w:w="6746"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Marker-basierte Mehrfachauswahl wird per POST eingelesen.</w:t>
            </w:r>
          </w:p>
        </w:tc>
      </w:tr>
      <w:tr w:rsidR="00B544D6">
        <w:trPr>
          <w:jc w:val="center"/>
        </w:trPr>
        <w:tc>
          <w:tcPr>
            <w:tcW w:w="2324"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IDs bereinigen</w:t>
            </w:r>
          </w:p>
        </w:tc>
        <w:tc>
          <w:tcPr>
            <w:tcW w:w="6746"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Die Funktion entfernt leere und doppelte Werte vor dem SQL.</w:t>
            </w:r>
          </w:p>
        </w:tc>
      </w:tr>
      <w:tr w:rsidR="00B544D6">
        <w:trPr>
          <w:jc w:val="center"/>
        </w:trPr>
        <w:tc>
          <w:tcPr>
            <w:tcW w:w="2324"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Prepared Statement</w:t>
            </w:r>
          </w:p>
        </w:tc>
        <w:tc>
          <w:tcPr>
            <w:tcW w:w="6746"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Datenbankzugriffe werden parameterisiert ausgefuehrt.</w:t>
            </w:r>
          </w:p>
        </w:tc>
      </w:tr>
      <w:tr w:rsidR="00B544D6">
        <w:trPr>
          <w:jc w:val="center"/>
        </w:trPr>
        <w:tc>
          <w:tcPr>
            <w:tcW w:w="2324"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Rueckmeldung</w:t>
            </w:r>
          </w:p>
        </w:tc>
        <w:tc>
          <w:tcPr>
            <w:tcW w:w="6746"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Die Funktion liefert Statusmeldungen an die Oberflaeche zurueck.</w:t>
            </w:r>
          </w:p>
        </w:tc>
      </w:tr>
    </w:tbl>
    <w:p w:rsidR="00B544D6" w:rsidRDefault="00B544D6"/>
    <w:p w:rsidR="00B544D6" w:rsidRDefault="000F6872">
      <w:pPr>
        <w:pStyle w:val="berschrift1"/>
        <w:spacing w:before="120" w:after="60" w:line="252" w:lineRule="auto"/>
      </w:pPr>
      <w:r>
        <w:rPr>
          <w:rFonts w:ascii="Calibri" w:eastAsia="Calibri" w:hAnsi="Calibri"/>
        </w:rPr>
        <w:t>7. Querschnittsfunktionen und Plattformbausteine</w:t>
      </w:r>
    </w:p>
    <w:p w:rsidR="00B544D6" w:rsidRDefault="000F6872">
      <w:pPr>
        <w:spacing w:after="100" w:line="283" w:lineRule="auto"/>
        <w:jc w:val="both"/>
      </w:pPr>
      <w:r>
        <w:rPr>
          <w:rFonts w:eastAsia="Calibri"/>
        </w:rPr>
        <w:t>Neben Grids und Formularen nennen die Beschreibungsunterlagen weitere Plattformfunktionen, die fuer die Gesamtarchitektur relevant sind.</w:t>
      </w:r>
    </w:p>
    <w:p w:rsidR="00B544D6" w:rsidRDefault="000F6872">
      <w:pPr>
        <w:pStyle w:val="Aufzhlungszeichen"/>
        <w:spacing w:after="40" w:line="264" w:lineRule="auto"/>
      </w:pPr>
      <w:r>
        <w:rPr>
          <w:rFonts w:eastAsia="Calibri"/>
          <w:sz w:val="20"/>
        </w:rPr>
        <w:t>DeepL-Integration mit dateibasiertem Cache fuer bereits uebersetzte Texte.</w:t>
      </w:r>
    </w:p>
    <w:p w:rsidR="00B544D6" w:rsidRDefault="000F6872">
      <w:pPr>
        <w:pStyle w:val="Aufzhlungszeichen"/>
        <w:spacing w:after="40" w:line="264" w:lineRule="auto"/>
      </w:pPr>
      <w:r>
        <w:rPr>
          <w:rFonts w:eastAsia="Calibri"/>
          <w:sz w:val="20"/>
        </w:rPr>
        <w:t>Global und projektbezogen verstandene Libraries.</w:t>
      </w:r>
    </w:p>
    <w:p w:rsidR="00B544D6" w:rsidRDefault="000F6872">
      <w:pPr>
        <w:pStyle w:val="Aufzhlungszeichen"/>
        <w:spacing w:after="40" w:line="264" w:lineRule="auto"/>
      </w:pPr>
      <w:r>
        <w:rPr>
          <w:rFonts w:eastAsia="Calibri"/>
          <w:sz w:val="20"/>
        </w:rPr>
        <w:t>Grafischer MySQL-Editor fuer Tabellen, Joins, Feldauswahl und direkte Vorschau des Ergebnisses.</w:t>
      </w:r>
    </w:p>
    <w:p w:rsidR="00B544D6" w:rsidRDefault="000F6872">
      <w:pPr>
        <w:pStyle w:val="Aufzhlungszeichen"/>
        <w:spacing w:after="40" w:line="264" w:lineRule="auto"/>
      </w:pPr>
      <w:r>
        <w:rPr>
          <w:rFonts w:eastAsia="Calibri"/>
          <w:sz w:val="20"/>
        </w:rPr>
        <w:t>Grafikwerkzeug fuer verschiedene Diagrammtypen mit Vorschau und speicherbarer Anwendung.</w:t>
      </w:r>
    </w:p>
    <w:p w:rsidR="00B544D6" w:rsidRDefault="000F6872">
      <w:pPr>
        <w:pStyle w:val="Aufzhlungszeichen"/>
        <w:spacing w:after="40" w:line="264" w:lineRule="auto"/>
      </w:pPr>
      <w:r>
        <w:rPr>
          <w:rFonts w:eastAsia="Calibri"/>
          <w:sz w:val="20"/>
        </w:rPr>
        <w:t>Dashboard mit freier Kombination und Positionierung von Komponenten sowie Endanwender-Anpassung der iFrames.</w:t>
      </w:r>
    </w:p>
    <w:tbl>
      <w:tblPr>
        <w:tblW w:w="0" w:type="auto"/>
        <w:jc w:val="center"/>
        <w:tblLook w:val="04A0" w:firstRow="1" w:lastRow="0" w:firstColumn="1" w:lastColumn="0" w:noHBand="0" w:noVBand="1"/>
      </w:tblPr>
      <w:tblGrid>
        <w:gridCol w:w="9972"/>
      </w:tblGrid>
      <w:tr w:rsidR="00B544D6">
        <w:trPr>
          <w:jc w:val="center"/>
        </w:trPr>
        <w:tc>
          <w:tcPr>
            <w:tcW w:w="9972" w:type="dxa"/>
            <w:tcBorders>
              <w:top w:val="single" w:sz="12" w:space="0" w:color="5B9BD5"/>
              <w:left w:val="single" w:sz="12" w:space="0" w:color="5B9BD5"/>
              <w:bottom w:val="single" w:sz="12" w:space="0" w:color="5B9BD5"/>
              <w:right w:val="single" w:sz="12" w:space="0" w:color="5B9BD5"/>
            </w:tcBorders>
            <w:shd w:val="clear" w:color="auto" w:fill="EDF4FD"/>
            <w:tcMar>
              <w:top w:w="110" w:type="dxa"/>
              <w:left w:w="120" w:type="dxa"/>
              <w:bottom w:w="110" w:type="dxa"/>
              <w:right w:w="120" w:type="dxa"/>
            </w:tcMar>
          </w:tcPr>
          <w:p w:rsidR="00B544D6" w:rsidRDefault="000F6872">
            <w:pPr>
              <w:spacing w:after="0" w:line="269" w:lineRule="auto"/>
            </w:pPr>
            <w:r>
              <w:rPr>
                <w:rFonts w:eastAsia="Calibri"/>
                <w:b/>
                <w:color w:val="16406F"/>
              </w:rPr>
              <w:t xml:space="preserve">Architektonische Bedeutung: </w:t>
            </w:r>
            <w:r>
              <w:rPr>
                <w:rFonts w:eastAsia="Calibri"/>
                <w:sz w:val="20"/>
              </w:rPr>
              <w:t>Diese Bausteine zeigen, dass MOSAIC nicht nur die Ausfuehrung einzelner Masken standardisiert, sondern die Entwicklungsumgebung selbst mit Werkzeugen fuer SQL, Visualisierung und Dashboarding erweitert.</w:t>
            </w:r>
          </w:p>
        </w:tc>
      </w:tr>
    </w:tbl>
    <w:p w:rsidR="00B544D6" w:rsidRDefault="00B544D6"/>
    <w:p w:rsidR="00B544D6" w:rsidRDefault="000F6872">
      <w:pPr>
        <w:pStyle w:val="berschrift1"/>
        <w:spacing w:before="120" w:after="60" w:line="252" w:lineRule="auto"/>
      </w:pPr>
      <w:r>
        <w:rPr>
          <w:rFonts w:ascii="Calibri" w:eastAsia="Calibri" w:hAnsi="Calibri"/>
        </w:rPr>
        <w:lastRenderedPageBreak/>
        <w:t>8. Migration aus Scriptcase</w:t>
      </w:r>
    </w:p>
    <w:p w:rsidR="00B544D6" w:rsidRDefault="000F6872">
      <w:pPr>
        <w:spacing w:after="100" w:line="283" w:lineRule="auto"/>
        <w:jc w:val="both"/>
      </w:pPr>
      <w:r>
        <w:rPr>
          <w:rFonts w:eastAsia="Calibri"/>
        </w:rPr>
        <w:t>Die Scriptcase-Unterlage beschreibt eine explizite Konvertierung in die aktuelle ISS-MOSAIC-Version. Eine vollstaendig automatische Migration wird nicht zugesagt, wohl aber die Uebernahme wesentlicher Bestandteile aus Scriptcase-Backups.</w:t>
      </w:r>
    </w:p>
    <w:tbl>
      <w:tblPr>
        <w:tblStyle w:val="Tabellenraster"/>
        <w:tblW w:w="0" w:type="auto"/>
        <w:jc w:val="center"/>
        <w:tblLook w:val="04A0" w:firstRow="1" w:lastRow="0" w:firstColumn="1" w:lastColumn="0" w:noHBand="0" w:noVBand="1"/>
      </w:tblPr>
      <w:tblGrid>
        <w:gridCol w:w="4819"/>
        <w:gridCol w:w="5373"/>
      </w:tblGrid>
      <w:tr w:rsidR="00B544D6">
        <w:trPr>
          <w:tblHeader/>
          <w:jc w:val="center"/>
        </w:trPr>
        <w:tc>
          <w:tcPr>
            <w:tcW w:w="4986" w:type="dxa"/>
            <w:shd w:val="clear" w:color="auto" w:fill="1F4E79"/>
            <w:tcMar>
              <w:top w:w="80" w:type="dxa"/>
              <w:left w:w="110" w:type="dxa"/>
              <w:bottom w:w="80" w:type="dxa"/>
              <w:right w:w="110" w:type="dxa"/>
            </w:tcMar>
            <w:vAlign w:val="center"/>
          </w:tcPr>
          <w:p w:rsidR="00B544D6" w:rsidRDefault="000F6872">
            <w:pPr>
              <w:jc w:val="center"/>
            </w:pPr>
            <w:r>
              <w:rPr>
                <w:rFonts w:eastAsia="Calibri"/>
                <w:b/>
                <w:color w:val="FFFFFF"/>
                <w:sz w:val="20"/>
              </w:rPr>
              <w:t>Automatisch ausgewertete Bestandteile</w:t>
            </w:r>
          </w:p>
        </w:tc>
        <w:tc>
          <w:tcPr>
            <w:tcW w:w="4986" w:type="dxa"/>
            <w:shd w:val="clear" w:color="auto" w:fill="1F4E79"/>
            <w:tcMar>
              <w:top w:w="80" w:type="dxa"/>
              <w:left w:w="110" w:type="dxa"/>
              <w:bottom w:w="80" w:type="dxa"/>
              <w:right w:w="110" w:type="dxa"/>
            </w:tcMar>
            <w:vAlign w:val="center"/>
          </w:tcPr>
          <w:p w:rsidR="00B544D6" w:rsidRDefault="000F6872">
            <w:pPr>
              <w:jc w:val="center"/>
            </w:pPr>
            <w:r>
              <w:rPr>
                <w:rFonts w:eastAsia="Calibri"/>
                <w:b/>
                <w:color w:val="FFFFFF"/>
                <w:sz w:val="20"/>
              </w:rPr>
              <w:t>Nutzen fuer Migrationen</w:t>
            </w:r>
          </w:p>
        </w:tc>
      </w:tr>
      <w:tr w:rsidR="00B544D6">
        <w:trPr>
          <w:jc w:val="center"/>
        </w:trPr>
        <w:tc>
          <w:tcPr>
            <w:tcW w:w="3515"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Grids, Forms und Menues</w:t>
            </w:r>
          </w:p>
        </w:tc>
        <w:tc>
          <w:tcPr>
            <w:tcW w:w="5556"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Basiselemente koennen in MOSAIC-Konfigurationsdateien ueberfuehrt werden.</w:t>
            </w:r>
          </w:p>
        </w:tc>
      </w:tr>
      <w:tr w:rsidR="00B544D6">
        <w:trPr>
          <w:jc w:val="center"/>
        </w:trPr>
        <w:tc>
          <w:tcPr>
            <w:tcW w:w="3515"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Eigene Funktionen und Events</w:t>
            </w:r>
          </w:p>
        </w:tc>
        <w:tc>
          <w:tcPr>
            <w:tcW w:w="5556"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Wichtige Verhaltensbausteine werden bei der Analyse beruecksichtigt.</w:t>
            </w:r>
          </w:p>
        </w:tc>
      </w:tr>
      <w:tr w:rsidR="00B544D6">
        <w:trPr>
          <w:jc w:val="center"/>
        </w:trPr>
        <w:tc>
          <w:tcPr>
            <w:tcW w:w="3515"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Spaltendarstellung und Quicksearch-Felder</w:t>
            </w:r>
          </w:p>
        </w:tc>
        <w:tc>
          <w:tcPr>
            <w:tcW w:w="5556"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Listensichten koennen mit ihrer Suchlogik weitgehend uebernommen werden.</w:t>
            </w:r>
          </w:p>
        </w:tc>
      </w:tr>
      <w:tr w:rsidR="00B544D6">
        <w:trPr>
          <w:jc w:val="center"/>
        </w:trPr>
        <w:tc>
          <w:tcPr>
            <w:tcW w:w="3515"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Weitere betriebsrelevante Komponenten</w:t>
            </w:r>
          </w:p>
        </w:tc>
        <w:tc>
          <w:tcPr>
            <w:tcW w:w="5556"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Die Migration ist bewusst breiter angelegt als nur ein reines Feldmapping.</w:t>
            </w:r>
          </w:p>
        </w:tc>
      </w:tr>
    </w:tbl>
    <w:p w:rsidR="00B544D6" w:rsidRDefault="00B544D6"/>
    <w:p w:rsidR="00B544D6" w:rsidRDefault="000F6872">
      <w:pPr>
        <w:spacing w:after="100" w:line="283" w:lineRule="auto"/>
        <w:jc w:val="both"/>
      </w:pPr>
      <w:r>
        <w:rPr>
          <w:rFonts w:eastAsia="Calibri"/>
        </w:rPr>
        <w:t>Technisch wichtig ist die Erwartungshaltung: Scriptcase dient hier als Quellsystem, MOSAIC als Zielmodell. Das Ziel ist also keine pixelgenaue Reproduktion, sondern eine Ueberfuehrung in die MOSAIC-Konfigurationslogik mit relativ geringer Nachbearbeitung.</w:t>
      </w:r>
    </w:p>
    <w:p w:rsidR="00B544D6" w:rsidRDefault="000F6872">
      <w:pPr>
        <w:pStyle w:val="berschrift1"/>
        <w:spacing w:before="120" w:after="60" w:line="252" w:lineRule="auto"/>
      </w:pPr>
      <w:r>
        <w:rPr>
          <w:rFonts w:ascii="Calibri" w:eastAsia="Calibri" w:hAnsi="Calibri"/>
        </w:rPr>
        <w:t>9. Unterschiede zu anderen gaengigen Frameworks</w:t>
      </w:r>
    </w:p>
    <w:tbl>
      <w:tblPr>
        <w:tblStyle w:val="Tabellenraster"/>
        <w:tblW w:w="0" w:type="auto"/>
        <w:jc w:val="center"/>
        <w:tblLook w:val="04A0" w:firstRow="1" w:lastRow="0" w:firstColumn="1" w:lastColumn="0" w:noHBand="0" w:noVBand="1"/>
      </w:tblPr>
      <w:tblGrid>
        <w:gridCol w:w="3316"/>
        <w:gridCol w:w="3314"/>
        <w:gridCol w:w="3562"/>
      </w:tblGrid>
      <w:tr w:rsidR="00B544D6">
        <w:trPr>
          <w:tblHeader/>
          <w:jc w:val="center"/>
        </w:trPr>
        <w:tc>
          <w:tcPr>
            <w:tcW w:w="3324" w:type="dxa"/>
            <w:shd w:val="clear" w:color="auto" w:fill="1F4E79"/>
            <w:tcMar>
              <w:top w:w="80" w:type="dxa"/>
              <w:left w:w="110" w:type="dxa"/>
              <w:bottom w:w="80" w:type="dxa"/>
              <w:right w:w="110" w:type="dxa"/>
            </w:tcMar>
            <w:vAlign w:val="center"/>
          </w:tcPr>
          <w:p w:rsidR="00B544D6" w:rsidRDefault="000F6872">
            <w:pPr>
              <w:jc w:val="center"/>
            </w:pPr>
            <w:r>
              <w:rPr>
                <w:rFonts w:eastAsia="Calibri"/>
                <w:b/>
                <w:color w:val="FFFFFF"/>
                <w:sz w:val="20"/>
              </w:rPr>
              <w:t>Aspekt</w:t>
            </w:r>
          </w:p>
        </w:tc>
        <w:tc>
          <w:tcPr>
            <w:tcW w:w="3324" w:type="dxa"/>
            <w:shd w:val="clear" w:color="auto" w:fill="1F4E79"/>
            <w:tcMar>
              <w:top w:w="80" w:type="dxa"/>
              <w:left w:w="110" w:type="dxa"/>
              <w:bottom w:w="80" w:type="dxa"/>
              <w:right w:w="110" w:type="dxa"/>
            </w:tcMar>
            <w:vAlign w:val="center"/>
          </w:tcPr>
          <w:p w:rsidR="00B544D6" w:rsidRDefault="000F6872">
            <w:pPr>
              <w:jc w:val="center"/>
            </w:pPr>
            <w:r>
              <w:rPr>
                <w:rFonts w:eastAsia="Calibri"/>
                <w:b/>
                <w:color w:val="FFFFFF"/>
                <w:sz w:val="20"/>
              </w:rPr>
              <w:t>ISS MOSAIC</w:t>
            </w:r>
          </w:p>
        </w:tc>
        <w:tc>
          <w:tcPr>
            <w:tcW w:w="3324" w:type="dxa"/>
            <w:shd w:val="clear" w:color="auto" w:fill="1F4E79"/>
            <w:tcMar>
              <w:top w:w="80" w:type="dxa"/>
              <w:left w:w="110" w:type="dxa"/>
              <w:bottom w:w="80" w:type="dxa"/>
              <w:right w:w="110" w:type="dxa"/>
            </w:tcMar>
            <w:vAlign w:val="center"/>
          </w:tcPr>
          <w:p w:rsidR="00B544D6" w:rsidRDefault="000F6872">
            <w:pPr>
              <w:jc w:val="center"/>
            </w:pPr>
            <w:r>
              <w:rPr>
                <w:rFonts w:eastAsia="Calibri"/>
                <w:b/>
                <w:color w:val="FFFFFF"/>
                <w:sz w:val="20"/>
              </w:rPr>
              <w:t>Typischer codezentrierter Ansatz</w:t>
            </w:r>
          </w:p>
        </w:tc>
      </w:tr>
      <w:tr w:rsidR="00B544D6">
        <w:trPr>
          <w:jc w:val="center"/>
        </w:trPr>
        <w:tc>
          <w:tcPr>
            <w:tcW w:w="2211"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Anwendungsdefinition</w:t>
            </w:r>
          </w:p>
        </w:tc>
        <w:tc>
          <w:tcPr>
            <w:tcW w:w="3288"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Stark deklarativ ueber Konfiguration und Standardattribute.</w:t>
            </w:r>
          </w:p>
        </w:tc>
        <w:tc>
          <w:tcPr>
            <w:tcW w:w="3572"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Staerker implementativ ueber Klassen, Controller, Templates und Komponenten.</w:t>
            </w:r>
          </w:p>
        </w:tc>
      </w:tr>
      <w:tr w:rsidR="00B544D6">
        <w:trPr>
          <w:jc w:val="center"/>
        </w:trPr>
        <w:tc>
          <w:tcPr>
            <w:tcW w:w="2211"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Standardisierung</w:t>
            </w:r>
          </w:p>
        </w:tc>
        <w:tc>
          <w:tcPr>
            <w:tcW w:w="3288"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Viele Oberflaechen laufen ueber denselben Kern.</w:t>
            </w:r>
          </w:p>
        </w:tc>
        <w:tc>
          <w:tcPr>
            <w:tcW w:w="3572"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Mehr Freiheiten, aber auch mehr Streuung individueller Implementierungen.</w:t>
            </w:r>
          </w:p>
        </w:tc>
      </w:tr>
      <w:tr w:rsidR="00B544D6">
        <w:trPr>
          <w:jc w:val="center"/>
        </w:trPr>
        <w:tc>
          <w:tcPr>
            <w:tcW w:w="2211"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Update-Pfad</w:t>
            </w:r>
          </w:p>
        </w:tc>
        <w:tc>
          <w:tcPr>
            <w:tcW w:w="3288"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Kernorientiert ueber _pgm.</w:t>
            </w:r>
          </w:p>
        </w:tc>
        <w:tc>
          <w:tcPr>
            <w:tcW w:w="3572"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Haeufig ueber eine Kombination aus Framework-, Paket- und Projektupdate.</w:t>
            </w:r>
          </w:p>
        </w:tc>
      </w:tr>
      <w:tr w:rsidR="00B544D6">
        <w:trPr>
          <w:jc w:val="center"/>
        </w:trPr>
        <w:tc>
          <w:tcPr>
            <w:tcW w:w="2211"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Erweiterungen</w:t>
            </w:r>
          </w:p>
        </w:tc>
        <w:tc>
          <w:tcPr>
            <w:tcW w:w="3288"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Sonderlogik ueber Funktionsdateien nahe am Modul.</w:t>
            </w:r>
          </w:p>
        </w:tc>
        <w:tc>
          <w:tcPr>
            <w:tcW w:w="3572" w:type="dxa"/>
            <w:shd w:val="clear" w:color="auto" w:fill="F8FBFE"/>
            <w:tcMar>
              <w:top w:w="80" w:type="dxa"/>
              <w:left w:w="110" w:type="dxa"/>
              <w:bottom w:w="80" w:type="dxa"/>
              <w:right w:w="110" w:type="dxa"/>
            </w:tcMar>
            <w:vAlign w:val="center"/>
          </w:tcPr>
          <w:p w:rsidR="00B544D6" w:rsidRDefault="000F6872">
            <w:pPr>
              <w:spacing w:line="259" w:lineRule="auto"/>
            </w:pPr>
            <w:r>
              <w:rPr>
                <w:rFonts w:eastAsia="Calibri"/>
                <w:sz w:val="19"/>
              </w:rPr>
              <w:t>Sonderlogik verteilt sich oft ueber mehrere Schichten.</w:t>
            </w:r>
          </w:p>
        </w:tc>
      </w:tr>
      <w:tr w:rsidR="00B544D6">
        <w:trPr>
          <w:jc w:val="center"/>
        </w:trPr>
        <w:tc>
          <w:tcPr>
            <w:tcW w:w="2211"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Migrationspfad</w:t>
            </w:r>
          </w:p>
        </w:tc>
        <w:tc>
          <w:tcPr>
            <w:tcW w:w="3288"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Scriptcase-Konvertierung ist explizit als Baustein vorhanden.</w:t>
            </w:r>
          </w:p>
        </w:tc>
        <w:tc>
          <w:tcPr>
            <w:tcW w:w="3572" w:type="dxa"/>
            <w:shd w:val="clear" w:color="auto" w:fill="FFFFFF"/>
            <w:tcMar>
              <w:top w:w="80" w:type="dxa"/>
              <w:left w:w="110" w:type="dxa"/>
              <w:bottom w:w="80" w:type="dxa"/>
              <w:right w:w="110" w:type="dxa"/>
            </w:tcMar>
            <w:vAlign w:val="center"/>
          </w:tcPr>
          <w:p w:rsidR="00B544D6" w:rsidRDefault="000F6872">
            <w:pPr>
              <w:spacing w:line="259" w:lineRule="auto"/>
            </w:pPr>
            <w:r>
              <w:rPr>
                <w:rFonts w:eastAsia="Calibri"/>
                <w:sz w:val="19"/>
              </w:rPr>
              <w:t>Meist kein integraler Standardfall.</w:t>
            </w:r>
          </w:p>
        </w:tc>
      </w:tr>
    </w:tbl>
    <w:p w:rsidR="00B544D6" w:rsidRDefault="00B544D6"/>
    <w:p w:rsidR="00B544D6" w:rsidRDefault="000F6872">
      <w:pPr>
        <w:pStyle w:val="berschrift1"/>
        <w:spacing w:before="120" w:after="60" w:line="252" w:lineRule="auto"/>
      </w:pPr>
      <w:r>
        <w:rPr>
          <w:rFonts w:ascii="Calibri" w:eastAsia="Calibri" w:hAnsi="Calibri"/>
        </w:rPr>
        <w:t>10. Praktische Leitlinien fuer Entwickler</w:t>
      </w:r>
    </w:p>
    <w:p w:rsidR="00B544D6" w:rsidRDefault="000F6872">
      <w:pPr>
        <w:pStyle w:val="Aufzhlungszeichen"/>
        <w:spacing w:after="40" w:line="264" w:lineRule="auto"/>
      </w:pPr>
      <w:r>
        <w:rPr>
          <w:rFonts w:eastAsia="Calibri"/>
          <w:sz w:val="20"/>
        </w:rPr>
        <w:t>Zuerst pruefen, was sich mit vorhandenen Grid-, Form- und Feldattributen bereits abbilden laesst.</w:t>
      </w:r>
    </w:p>
    <w:p w:rsidR="00B544D6" w:rsidRDefault="000F6872">
      <w:pPr>
        <w:pStyle w:val="Aufzhlungszeichen"/>
        <w:spacing w:after="40" w:line="264" w:lineRule="auto"/>
      </w:pPr>
      <w:r>
        <w:rPr>
          <w:rFonts w:eastAsia="Calibri"/>
          <w:sz w:val="20"/>
        </w:rPr>
        <w:t>Sonderlogik sauber in Funktionsdateien kapseln und nicht in den Kern hineinmischen.</w:t>
      </w:r>
    </w:p>
    <w:p w:rsidR="00B544D6" w:rsidRDefault="000F6872">
      <w:pPr>
        <w:pStyle w:val="Aufzhlungszeichen"/>
        <w:spacing w:after="40" w:line="264" w:lineRule="auto"/>
      </w:pPr>
      <w:r>
        <w:rPr>
          <w:rFonts w:eastAsia="Calibri"/>
          <w:sz w:val="20"/>
        </w:rPr>
        <w:t>Die Trennung zwischen _pgm und Projektbestand im Repository und Deployment strikt einhalten.</w:t>
      </w:r>
    </w:p>
    <w:p w:rsidR="00B544D6" w:rsidRDefault="000F6872">
      <w:pPr>
        <w:pStyle w:val="Aufzhlungszeichen"/>
        <w:spacing w:after="40" w:line="264" w:lineRule="auto"/>
      </w:pPr>
      <w:r>
        <w:rPr>
          <w:rFonts w:eastAsia="Calibri"/>
          <w:sz w:val="20"/>
        </w:rPr>
        <w:t>Dateiablage, Sprachcache und Libraries bewusst als vorgesehene Querschnittsordner nutzen.</w:t>
      </w:r>
    </w:p>
    <w:p w:rsidR="00B544D6" w:rsidRDefault="000F6872">
      <w:pPr>
        <w:pStyle w:val="Aufzhlungszeichen"/>
        <w:spacing w:after="40" w:line="264" w:lineRule="auto"/>
      </w:pPr>
      <w:r>
        <w:rPr>
          <w:rFonts w:eastAsia="Calibri"/>
          <w:sz w:val="20"/>
        </w:rPr>
        <w:t>Bei Migrationen frueh unterscheiden zwischen automatisch uebertragbaren Strukturen und bewusst geplanter Nacharbeit.</w:t>
      </w:r>
    </w:p>
    <w:p w:rsidR="00B544D6" w:rsidRDefault="000F6872">
      <w:pPr>
        <w:pStyle w:val="berschrift1"/>
      </w:pPr>
      <w:r>
        <w:lastRenderedPageBreak/>
        <w:t>11. Runner-Konzept im Kern</w:t>
      </w:r>
    </w:p>
    <w:p w:rsidR="00B544D6" w:rsidRDefault="000F6872">
      <w:r>
        <w:t>Der MOSAIC-Kern folgt jetzt einer verbindlichen Runner-Regel. Die Dateien grid.php, form.php und egrid.php bilden weiterhin die drei generischen CRUD-Runner. Alle anderen fachlichen Runner verwenden konsequent das Praefix show_.</w:t>
      </w:r>
    </w:p>
    <w:p w:rsidR="00B544D6" w:rsidRDefault="000F6872">
      <w:r>
        <w:t>Dieses Schema wird im Generator, in Menuekonfigurationen, in Dashboard-Aufloesungen und in der Projektdokumentation durchgaengig verwendet. Dadurch entsteht eine einheitliche technische Sprache fuer Laufzeitmodule und weniger Interpretationsspielraum bei neuen Erweiterungen.</w:t>
      </w:r>
    </w:p>
    <w:p w:rsidR="00B544D6" w:rsidRDefault="000F6872">
      <w:pPr>
        <w:pStyle w:val="Aufzhlungszeichen"/>
      </w:pPr>
      <w:r>
        <w:t>Menues: show_menu.php</w:t>
      </w:r>
    </w:p>
    <w:p w:rsidR="00B544D6" w:rsidRDefault="000F6872">
      <w:pPr>
        <w:pStyle w:val="Aufzhlungszeichen"/>
      </w:pPr>
      <w:r>
        <w:t>Dashboards: show_dashboard.php</w:t>
      </w:r>
    </w:p>
    <w:p w:rsidR="00B544D6" w:rsidRDefault="000F6872">
      <w:pPr>
        <w:pStyle w:val="Aufzhlungszeichen"/>
      </w:pPr>
      <w:r>
        <w:t>Reports: show_report.php</w:t>
      </w:r>
    </w:p>
    <w:p w:rsidR="00B544D6" w:rsidRDefault="000F6872">
      <w:pPr>
        <w:pStyle w:val="Aufzhlungszeichen"/>
      </w:pPr>
      <w:r>
        <w:t>Diagramme: show_chart.php</w:t>
      </w:r>
    </w:p>
    <w:p w:rsidR="00B544D6" w:rsidRDefault="000F6872">
      <w:pPr>
        <w:pStyle w:val="Aufzhlungszeichen"/>
      </w:pPr>
      <w:r>
        <w:t>Vertikale Menues: show_v_menu.php</w:t>
      </w:r>
    </w:p>
    <w:p w:rsidR="00B544D6" w:rsidRDefault="000F6872">
      <w:pPr>
        <w:pStyle w:val="Aufzhlungszeichen"/>
      </w:pPr>
      <w:r>
        <w:t>Login: show_login.php</w:t>
      </w:r>
    </w:p>
    <w:p w:rsidR="00B544D6" w:rsidRDefault="000F6872">
      <w:pPr>
        <w:pStyle w:val="Aufzhlungszeichen"/>
      </w:pPr>
      <w:r>
        <w:t>Connectoren und Integrationen: show_connector.php, show_paypal.php, show_calendar.php</w:t>
      </w:r>
    </w:p>
    <w:p w:rsidR="00B544D6" w:rsidRDefault="000F6872">
      <w:r>
        <w:t>Die vorherigen Alt-Namen wurden aus dem aktiven Kern entfernt. Neue Generatoren, Menueeintraege und direkte Links sollen deshalb nur noch auf die kanonischen show_-Runner zeigen.</w:t>
      </w:r>
    </w:p>
    <w:p w:rsidR="00B544D6" w:rsidRDefault="000F6872">
      <w:pPr>
        <w:pStyle w:val="berschrift1"/>
        <w:spacing w:before="120" w:after="60" w:line="252" w:lineRule="auto"/>
      </w:pPr>
      <w:r>
        <w:t>12. Technisches Fazit</w:t>
      </w:r>
    </w:p>
    <w:p w:rsidR="00B544D6" w:rsidRDefault="000F6872">
      <w:pPr>
        <w:spacing w:after="100" w:line="283" w:lineRule="auto"/>
        <w:jc w:val="both"/>
      </w:pPr>
      <w:r>
        <w:rPr>
          <w:rFonts w:eastAsia="Calibri"/>
        </w:rPr>
        <w:t>MOSAIC praesentiert sich in den Unterlagen als konsequent produktorientiertes Framework mit hohem Standardisierungsgrad. Aus Entwicklersicht liegt die Staerke im klaren Konfigurationsmodell und der gebuendelten Laufzeitlogik. Wer diese Denke annimmt, bekommt ein gut strukturierbares Modell fuer datengetriebene Anwendungen; wer jede Funktion frei und schichtoffen implementieren will, wird die starke Standardisierung eher als Begrenzung erleben.</w:t>
      </w:r>
    </w:p>
    <w:p w:rsidR="00B544D6" w:rsidRDefault="000F6872">
      <w:pPr>
        <w:pStyle w:val="berschrift1"/>
      </w:pPr>
      <w:r>
        <w:t>Technik show_forum</w:t>
      </w:r>
    </w:p>
    <w:p w:rsidR="00B544D6" w:rsidRDefault="000F6872">
      <w:r>
        <w:t>show_forum.php laedt eine *_forum.cfg, optional eine *_forum_function.php und optional eine projektspezifische Bibliothek ueber bootstrap_file.</w:t>
      </w:r>
    </w:p>
    <w:p w:rsidR="00B544D6" w:rsidRDefault="000F6872">
      <w:r>
        <w:t>Die Konfiguration bildet logische Views wie start, overview, board, topic, topic_create, action und attachment auf Skriptdateien im Modulpfad ab.</w:t>
      </w:r>
    </w:p>
    <w:p w:rsidR="00B544D6" w:rsidRDefault="000F6872">
      <w:r>
        <w:t>Dateianlagen liegen physisch unter storage_relative_path im Projekt, nicht im Kernbereich _pgm.</w:t>
      </w:r>
    </w:p>
    <w:p w:rsidR="00B544D6" w:rsidRDefault="000F6872">
      <w:r>
        <w:t>Das SQL-Setup wird ueber setup_sql_relative_path referenziert und kann neben CREATE TABLE auch Default-Inhalte enthalten.</w:t>
      </w:r>
    </w:p>
    <w:p w:rsidR="00B544D6" w:rsidRDefault="000F6872">
      <w:pPr>
        <w:pStyle w:val="berschrift1"/>
      </w:pPr>
      <w:r>
        <w:t>Ergaenzung April 2026: Datenbanken und automatische Engine-Ermittlung</w:t>
      </w:r>
    </w:p>
    <w:p w:rsidR="00B544D6" w:rsidRDefault="000F6872">
      <w:r>
        <w:t>Dieser Abschnitt dokumentiert den aktuellen MOSAIC-Stand fuer die Datenbankanbindung, die automatische PostgreSQL-Erkennung und die SQLite-Unterstuetzung im Admin-Dialog db_edit.</w:t>
      </w:r>
    </w:p>
    <w:p w:rsidR="00B544D6" w:rsidRDefault="000F6872">
      <w:pPr>
        <w:pStyle w:val="berschrift2"/>
      </w:pPr>
      <w:r>
        <w:t>Verbindungs- und Modulschluessel</w:t>
      </w:r>
    </w:p>
    <w:p w:rsidR="00B544D6" w:rsidRDefault="000F6872">
      <w:r>
        <w:t>In db_connection.lic bleibt der Verbindungsschluessel type. In Modulkonfigurationen verwendet MOSAIC nur noch db_typ. Der fruehere Schluessel db_type wird fuer neue Module nicht mehr verwendet.</w:t>
      </w:r>
    </w:p>
    <w:p w:rsidR="00B544D6" w:rsidRDefault="000F6872">
      <w:r>
        <w:lastRenderedPageBreak/>
        <w:t>Direkt unterstuetzte Verbindungstypen im Kern sind aktuell mysql, pgsql und sqlite.</w:t>
      </w:r>
    </w:p>
    <w:p w:rsidR="00B544D6" w:rsidRDefault="000F6872">
      <w:pPr>
        <w:pStyle w:val="berschrift2"/>
      </w:pPr>
      <w:r>
        <w:t>PostgreSQL</w:t>
      </w:r>
    </w:p>
    <w:p w:rsidR="00B544D6" w:rsidRDefault="000F6872">
      <w:r>
        <w:t>Wird in einem Modul db_typ = pgsql verwendet, ermittelt MOSAIC nach dem Verbindungsaufbau die PostgreSQL-Hauptversion automatisch. Intern arbeitet der Kern danach mit einem effektiven Typ wie postgresql_15, postgresql_16, postgresql_17 oder postgresql_18.</w:t>
      </w:r>
    </w:p>
    <w:p w:rsidR="00B544D6" w:rsidRDefault="000F6872">
      <w:r>
        <w:t>Die Generatoren und zentralen Laufzeitpfade nutzen dafuer gemeinsame Kernfunktionen wie iss_db_typ_from_pdo(), iss_detect_postgresql_major_version(), iss_detect_postgresql_effective_db_typ() und iss_module_db_typ().</w:t>
      </w:r>
    </w:p>
    <w:p w:rsidR="00B544D6" w:rsidRDefault="000F6872">
      <w:pPr>
        <w:pStyle w:val="berschrift2"/>
      </w:pPr>
      <w:r>
        <w:t>SQLite und db_edit</w:t>
      </w:r>
    </w:p>
    <w:p w:rsidR="00B544D6" w:rsidRDefault="000F6872">
      <w:r>
        <w:t>Im Admin-Dialog db_edit kann jetzt auch SQLite ausgewaehlt werden. Dabei wird der bisherige Host-Eintrag funktional als Dateipfad zur SQLite-Datei verwendet.</w:t>
      </w:r>
    </w:p>
    <w:p w:rsidR="00B544D6" w:rsidRDefault="000F6872">
      <w:r>
        <w:t>Bei Auswahl von SQLite werden Port, User und Passwort im Dialog ausgeblendet und serverseitig nicht gespeichert, weil sie fuer den normalen SQLite-Betrieb nicht benoetigt werden.</w:t>
      </w:r>
    </w:p>
    <w:p w:rsidR="00B544D6" w:rsidRDefault="000F6872">
      <w:r>
        <w:t>db_edit prueft ausserdem explizit, ob der PHP-PDO-Treiber pdo_sqlite verfuegbar ist. Fehlt dieser Treiber, zeigt der Dialog sofort eine Fehlermeldung an, deaktiviert den Speichern-Button und blockiert das Speichern auch serverseitig.</w:t>
      </w:r>
    </w:p>
    <w:p w:rsidR="00B544D6" w:rsidRDefault="000F6872">
      <w:r>
        <w:t>Wird ein SQLite-Dateipfad angegeben und die Datei existiert noch nicht, fragt MOSAIC vor dem Speichern nach, ob die Datenbankdatei jetzt angelegt werden soll. Erst nach dieser Bestaetigung wird die Datei per PDO erzeugt und die Verbindung gespeichert.</w:t>
      </w:r>
    </w:p>
    <w:p w:rsidR="00B544D6" w:rsidRDefault="000F6872">
      <w:pPr>
        <w:pStyle w:val="berschrift2"/>
      </w:pPr>
      <w:r>
        <w:t>Hinweis zur MySQL-Engine</w:t>
      </w:r>
    </w:p>
    <w:p w:rsidR="0032089A" w:rsidRDefault="000F6872">
      <w:r>
        <w:t>Die MySQL-Storage-Engine InnoDB oder MyISAM ist weiterhin sauber von db_typ zu unterscheiden. Diese Tabellen-Engine wird im MOSAIC-Kern separat fuer die Form-Transaktionslogik ermittelt und ist nicht identisch mit dem Modul-Dialekt.</w:t>
      </w:r>
    </w:p>
    <w:p w:rsidR="0032089A" w:rsidRDefault="0032089A">
      <w:r>
        <w:br w:type="page"/>
      </w:r>
    </w:p>
    <w:p w:rsidR="00B544D6" w:rsidRDefault="0032089A">
      <w:r>
        <w:lastRenderedPageBreak/>
        <w:t>DeepL-Cache-Reihenfolge</w:t>
      </w:r>
    </w:p>
    <w:p w:rsidR="0032089A" w:rsidRDefault="0032089A">
      <w:r>
        <w:t>Die Runtime von deepl_translate() liest zuerst _pgm/admin/_deepl_cache/&lt;SPRACHE&gt;/&lt;SPRACHE&gt;_&lt;hash&gt;.txt. Dieser Bereich enthaelt zentrale MOSAIC-Kerntexte und kann vorab aufgebaut werden.</w:t>
      </w:r>
    </w:p>
    <w:p w:rsidR="0032089A" w:rsidRDefault="0032089A">
      <w:r>
        <w:t>Wenn kein zentraler Eintrag vorhanden ist, liest die Runtime &lt;projekt&gt;/_deepl_cache/&lt;SPRACHE&gt;/&lt;SPRACHE&gt;_&lt;hash&gt;.txt. Wird eine neue Uebersetzung erzeugt, schreibt die Runtime bei vorhandenem Projektkontext ebenfalls in diesen Projektcache. Ohne Projektkontext bleibt der Admin-Cache der Schreibort, z. B. fuer Admin- oder Vorwaermlaeufe.</w:t>
      </w:r>
    </w:p>
    <w:p w:rsidR="0032089A" w:rsidRDefault="0032089A"/>
    <w:p w:rsidR="004509B3" w:rsidRDefault="001B43E9">
      <w:r>
        <w:br w:type="page"/>
      </w:r>
    </w:p>
    <w:p w:rsidR="004509B3" w:rsidRDefault="001B43E9">
      <w:pPr>
        <w:pStyle w:val="berschrift1"/>
      </w:pPr>
      <w:r>
        <w:lastRenderedPageBreak/>
        <w:t>MOSAIC-Root und Installationspfad</w:t>
      </w:r>
    </w:p>
    <w:p w:rsidR="004509B3" w:rsidRDefault="001B43E9">
      <w:r>
        <w:t>ISS-MOSAIC ist nicht fest an den Or</w:t>
      </w:r>
      <w:r>
        <w:t>dner /iss gebunden. Der Kern ermittelt den MOSAIC-Root dynamisch und setzt daraus APP_ROOT_PATH und APP_ROOT_URL.</w:t>
      </w:r>
    </w:p>
    <w:p w:rsidR="004509B3" w:rsidRDefault="001B43E9">
      <w:r>
        <w:t>Wichtig ist nur, dass der Kernordner _pgm und die Projektordner unter demselben MOSAIC-Root liegen.</w:t>
      </w:r>
    </w:p>
    <w:p w:rsidR="004509B3" w:rsidRDefault="001B43E9">
      <w:pPr>
        <w:pStyle w:val="berschrift2"/>
      </w:pPr>
      <w:r>
        <w:t>Zulaessige Strukturen</w:t>
      </w:r>
    </w:p>
    <w:p w:rsidR="004509B3" w:rsidRDefault="001B43E9">
      <w:r>
        <w:rPr>
          <w:b/>
        </w:rPr>
        <w:t>Variante mit Unteror</w:t>
      </w:r>
      <w:r>
        <w:rPr>
          <w:b/>
        </w:rPr>
        <w:t>dner:</w:t>
      </w:r>
    </w:p>
    <w:p w:rsidR="004509B3" w:rsidRDefault="001B43E9">
      <w:pPr>
        <w:pStyle w:val="Aufzhlungszeichen"/>
      </w:pPr>
      <w:r>
        <w:t>WEB-Root/iss/_pgm</w:t>
      </w:r>
    </w:p>
    <w:p w:rsidR="004509B3" w:rsidRDefault="001B43E9">
      <w:pPr>
        <w:pStyle w:val="Aufzhlungszeichen"/>
      </w:pPr>
      <w:r>
        <w:t>WEB-Root/iss/mo_user</w:t>
      </w:r>
    </w:p>
    <w:p w:rsidR="004509B3" w:rsidRDefault="001B43E9">
      <w:pPr>
        <w:pStyle w:val="Aufzhlungszeichen"/>
      </w:pPr>
      <w:r>
        <w:t>WEB-Root/iss/demo</w:t>
      </w:r>
    </w:p>
    <w:p w:rsidR="004509B3" w:rsidRDefault="001B43E9">
      <w:r>
        <w:rPr>
          <w:b/>
        </w:rPr>
        <w:t>Variante direkt im Web-Root:</w:t>
      </w:r>
    </w:p>
    <w:p w:rsidR="004509B3" w:rsidRDefault="001B43E9">
      <w:pPr>
        <w:pStyle w:val="Aufzhlungszeichen"/>
      </w:pPr>
      <w:r>
        <w:t>WEB-Root/_pgm</w:t>
      </w:r>
    </w:p>
    <w:p w:rsidR="004509B3" w:rsidRDefault="001B43E9">
      <w:pPr>
        <w:pStyle w:val="Aufzhlungszeichen"/>
      </w:pPr>
      <w:r>
        <w:t>WEB-Root/mo_user</w:t>
      </w:r>
    </w:p>
    <w:p w:rsidR="004509B3" w:rsidRDefault="001B43E9">
      <w:pPr>
        <w:pStyle w:val="Aufzhlungszeichen"/>
      </w:pPr>
      <w:r>
        <w:t>WEB-Root/demo</w:t>
      </w:r>
    </w:p>
    <w:p w:rsidR="004509B3" w:rsidRDefault="001B43E9">
      <w:pPr>
        <w:pStyle w:val="berschrift2"/>
      </w:pPr>
      <w:r>
        <w:t>Verbindliche Entwicklungsregel</w:t>
      </w:r>
    </w:p>
    <w:p w:rsidR="004509B3" w:rsidRDefault="001B43E9">
      <w:r>
        <w:t xml:space="preserve">Neue Kern- und Projektlogik darf keine festen Pfade oder URLs wie /iss/_pgm, </w:t>
      </w:r>
      <w:r>
        <w:t>/iss/mo_user oder C:\xampp\htdocs\iss voraussetzen. URLs zu Kernrunnern werden aus APP_ROOT_URL plus _pgm/&lt;runner&gt;.php gebildet; Dateipfade werden aus APP_ROOT_PATH beziehungsweise den vorhandenen Pfadhelfern abgeleitet.</w:t>
      </w:r>
    </w:p>
    <w:p w:rsidR="004509B3" w:rsidRDefault="001B43E9">
      <w:pPr>
        <w:pStyle w:val="berschrift2"/>
      </w:pPr>
      <w:r>
        <w:t>DeepL-Cache</w:t>
      </w:r>
    </w:p>
    <w:p w:rsidR="004509B3" w:rsidRDefault="001B43E9">
      <w:r>
        <w:t>deepl_translate() sucht</w:t>
      </w:r>
      <w:r>
        <w:t xml:space="preserve"> zuerst im zentralen Kerncache _pgm/admin/_deepl_cache/&lt;SPRACHE&gt;/ und danach im Projektcache &lt;projekt&gt;/_deepl_cache/&lt;SPRACHE&gt;/. Neue projektspezifische Uebersetzungen werden im Projektcache geschrieben.</w:t>
      </w:r>
    </w:p>
    <w:sectPr w:rsidR="004509B3" w:rsidSect="00034616">
      <w:headerReference w:type="default" r:id="rId8"/>
      <w:footerReference w:type="default" r:id="rId9"/>
      <w:pgSz w:w="12240" w:h="15840"/>
      <w:pgMar w:top="1020" w:right="1134" w:bottom="907" w:left="1134"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FDC" w:rsidRDefault="000F6872">
      <w:pPr>
        <w:spacing w:after="0" w:line="240" w:lineRule="auto"/>
      </w:pPr>
      <w:r>
        <w:separator/>
      </w:r>
    </w:p>
  </w:endnote>
  <w:endnote w:type="continuationSeparator" w:id="0">
    <w:p w:rsidR="00800FDC" w:rsidRDefault="000F6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4D6" w:rsidRDefault="000F6872">
    <w:pPr>
      <w:pStyle w:val="Fuzeile"/>
    </w:pPr>
    <w:r>
      <w:rPr>
        <w:rFonts w:eastAsia="Calibri"/>
        <w:color w:val="646464"/>
        <w:sz w:val="17"/>
      </w:rPr>
      <w:t>Stand: 17.03.2026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FDC" w:rsidRDefault="000F6872">
      <w:pPr>
        <w:spacing w:after="0" w:line="240" w:lineRule="auto"/>
      </w:pPr>
      <w:r>
        <w:separator/>
      </w:r>
    </w:p>
  </w:footnote>
  <w:footnote w:type="continuationSeparator" w:id="0">
    <w:p w:rsidR="00800FDC" w:rsidRDefault="000F68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4D6" w:rsidRDefault="000F6872">
    <w:pPr>
      <w:pStyle w:val="Kopfzeile"/>
      <w:jc w:val="right"/>
    </w:pPr>
    <w:r>
      <w:rPr>
        <w:rFonts w:eastAsia="Calibri"/>
        <w:color w:val="646464"/>
        <w:sz w:val="17"/>
      </w:rPr>
      <w:t>ISS MOSAIC - Technische Detaildokumentation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F6872"/>
    <w:rsid w:val="0015074B"/>
    <w:rsid w:val="001B43E9"/>
    <w:rsid w:val="0029639D"/>
    <w:rsid w:val="0032089A"/>
    <w:rsid w:val="00326F90"/>
    <w:rsid w:val="004509B3"/>
    <w:rsid w:val="00800FDC"/>
    <w:rsid w:val="00AA1D8D"/>
    <w:rsid w:val="00B47730"/>
    <w:rsid w:val="00B544D6"/>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300"/>
  <w15:docId w15:val="{FBE3CD5F-49A4-43BC-9125-DFE95D3C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C693F"/>
    <w:rPr>
      <w:rFonts w:ascii="Calibri" w:hAnsi="Calibri"/>
      <w:color w:val="2D2D2D"/>
      <w:sz w:val="21"/>
    </w:rPr>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16406F"/>
      <w:sz w:val="30"/>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16406F"/>
      <w:sz w:val="25"/>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16406F"/>
      <w:sz w:val="22"/>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6406F"/>
      <w:spacing w:val="5"/>
      <w:kern w:val="28"/>
      <w:sz w:val="48"/>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BBD18-78D0-45D4-AA6E-0EEE8562F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2118</Words>
  <Characters>16251</Characters>
  <Application>Microsoft Office Word</Application>
  <DocSecurity>0</DocSecurity>
  <Lines>474</Lines>
  <Paragraphs>217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19053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Administrator</cp:lastModifiedBy>
  <cp:revision>3</cp:revision>
  <dcterms:created xsi:type="dcterms:W3CDTF">2026-05-25T19:43:00Z</dcterms:created>
  <dcterms:modified xsi:type="dcterms:W3CDTF">2026-05-27T12:08:00Z</dcterms:modified>
  <cp:category/>
</cp:coreProperties>
</file>